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F22" w:rsidRPr="00232F22" w:rsidRDefault="00232F22" w:rsidP="00390AD9">
      <w:pPr>
        <w:pStyle w:val="Prrafodelista"/>
        <w:autoSpaceDE w:val="0"/>
        <w:autoSpaceDN w:val="0"/>
        <w:adjustRightInd w:val="0"/>
        <w:ind w:left="284" w:right="-376"/>
        <w:jc w:val="center"/>
        <w:rPr>
          <w:rFonts w:cs="Arial"/>
          <w:b/>
          <w:bCs/>
          <w:sz w:val="28"/>
          <w:szCs w:val="28"/>
        </w:rPr>
      </w:pPr>
      <w:r w:rsidRPr="00232F22">
        <w:rPr>
          <w:rFonts w:cs="Arial"/>
          <w:b/>
          <w:bCs/>
          <w:sz w:val="28"/>
          <w:szCs w:val="28"/>
        </w:rPr>
        <w:t>2020</w:t>
      </w:r>
    </w:p>
    <w:p w:rsidR="00232F22" w:rsidRDefault="00232F22" w:rsidP="00390AD9">
      <w:pPr>
        <w:pStyle w:val="Prrafodelista"/>
        <w:autoSpaceDE w:val="0"/>
        <w:autoSpaceDN w:val="0"/>
        <w:adjustRightInd w:val="0"/>
        <w:ind w:left="284" w:right="-376"/>
        <w:jc w:val="center"/>
        <w:rPr>
          <w:rFonts w:cs="Arial"/>
          <w:b/>
          <w:bCs/>
          <w:sz w:val="22"/>
        </w:rPr>
      </w:pPr>
    </w:p>
    <w:p w:rsidR="00390AD9" w:rsidRPr="00390AD9" w:rsidRDefault="00072F0E" w:rsidP="00390AD9">
      <w:pPr>
        <w:pStyle w:val="Prrafodelista"/>
        <w:autoSpaceDE w:val="0"/>
        <w:autoSpaceDN w:val="0"/>
        <w:adjustRightInd w:val="0"/>
        <w:ind w:left="284" w:right="-376"/>
        <w:jc w:val="center"/>
        <w:rPr>
          <w:rFonts w:cs="Arial"/>
          <w:b/>
          <w:bCs/>
          <w:sz w:val="22"/>
        </w:rPr>
      </w:pPr>
      <w:r w:rsidRPr="005C083B">
        <w:rPr>
          <w:rFonts w:cs="Arial"/>
          <w:b/>
          <w:bCs/>
          <w:sz w:val="22"/>
        </w:rPr>
        <w:t>VISTAS</w:t>
      </w:r>
      <w:r w:rsidR="008F660F">
        <w:rPr>
          <w:rFonts w:cs="Arial"/>
          <w:b/>
          <w:bCs/>
          <w:sz w:val="22"/>
        </w:rPr>
        <w:t xml:space="preserve"> </w:t>
      </w:r>
      <w:r w:rsidR="00390AD9">
        <w:rPr>
          <w:rFonts w:cs="Arial"/>
          <w:b/>
          <w:bCs/>
          <w:sz w:val="22"/>
        </w:rPr>
        <w:t>PRESENTADAS A LA SECRETARÍA EJECUTIVA</w:t>
      </w:r>
    </w:p>
    <w:p w:rsidR="00390AD9" w:rsidRDefault="00390AD9" w:rsidP="00072F0E">
      <w:pPr>
        <w:pStyle w:val="Prrafodelista"/>
        <w:autoSpaceDE w:val="0"/>
        <w:autoSpaceDN w:val="0"/>
        <w:adjustRightInd w:val="0"/>
        <w:ind w:left="284" w:right="-376"/>
        <w:jc w:val="center"/>
        <w:rPr>
          <w:rFonts w:cs="Arial"/>
          <w:b/>
          <w:bCs/>
          <w:sz w:val="22"/>
        </w:rPr>
      </w:pPr>
    </w:p>
    <w:p w:rsidR="00390AD9" w:rsidRDefault="00390AD9" w:rsidP="00072F0E">
      <w:pPr>
        <w:pStyle w:val="Prrafodelista"/>
        <w:autoSpaceDE w:val="0"/>
        <w:autoSpaceDN w:val="0"/>
        <w:adjustRightInd w:val="0"/>
        <w:ind w:left="284" w:right="-376"/>
        <w:jc w:val="center"/>
        <w:rPr>
          <w:rFonts w:cs="Arial"/>
          <w:b/>
          <w:bCs/>
          <w:sz w:val="22"/>
        </w:rPr>
      </w:pPr>
    </w:p>
    <w:p w:rsidR="00390AD9" w:rsidRPr="00037D82" w:rsidRDefault="00232F22" w:rsidP="00390AD9">
      <w:pPr>
        <w:pStyle w:val="Prrafodelista"/>
        <w:numPr>
          <w:ilvl w:val="0"/>
          <w:numId w:val="18"/>
        </w:numPr>
        <w:autoSpaceDE w:val="0"/>
        <w:autoSpaceDN w:val="0"/>
        <w:adjustRightInd w:val="0"/>
        <w:ind w:left="851" w:hanging="294"/>
        <w:rPr>
          <w:rFonts w:cs="Arial"/>
          <w:bCs/>
          <w:sz w:val="22"/>
        </w:rPr>
      </w:pPr>
      <w:r>
        <w:rPr>
          <w:rFonts w:cs="Arial"/>
          <w:bCs/>
          <w:sz w:val="22"/>
        </w:rPr>
        <w:t>El 18 de febrero del 2020, m</w:t>
      </w:r>
      <w:r w:rsidR="00390AD9" w:rsidRPr="00B846A8">
        <w:rPr>
          <w:rFonts w:cs="Arial"/>
          <w:bCs/>
          <w:sz w:val="22"/>
        </w:rPr>
        <w:t>ediante oficio INE/DEPPP/DE/DATE/3456/2020, esta Dirección Ejecutiva dio vista a la Secretaría Ejecutiva por presuntos incumplimientos por parte de</w:t>
      </w:r>
      <w:r w:rsidR="00390AD9" w:rsidRPr="00B846A8">
        <w:rPr>
          <w:rFonts w:cs="Arial"/>
          <w:sz w:val="22"/>
        </w:rPr>
        <w:t xml:space="preserve"> </w:t>
      </w:r>
      <w:r w:rsidR="00390AD9" w:rsidRPr="00B846A8">
        <w:rPr>
          <w:rFonts w:cs="Arial"/>
          <w:bCs/>
          <w:sz w:val="22"/>
        </w:rPr>
        <w:t xml:space="preserve">Radio Red, S.A. de C.V., concesionario de la emisora XERED-AM, en el estado de </w:t>
      </w:r>
      <w:r w:rsidR="00390AD9">
        <w:rPr>
          <w:rFonts w:cs="Arial"/>
          <w:sz w:val="22"/>
        </w:rPr>
        <w:t>México</w:t>
      </w:r>
      <w:r w:rsidR="00390AD9" w:rsidRPr="00B846A8">
        <w:rPr>
          <w:rFonts w:cs="Arial"/>
          <w:sz w:val="22"/>
        </w:rPr>
        <w:t>.</w:t>
      </w:r>
    </w:p>
    <w:p w:rsidR="00390AD9" w:rsidRDefault="00390AD9" w:rsidP="00390AD9">
      <w:pPr>
        <w:autoSpaceDE w:val="0"/>
        <w:autoSpaceDN w:val="0"/>
        <w:adjustRightInd w:val="0"/>
        <w:rPr>
          <w:rFonts w:cs="Arial"/>
          <w:bCs/>
          <w:sz w:val="22"/>
        </w:rPr>
      </w:pPr>
    </w:p>
    <w:p w:rsidR="00390AD9" w:rsidRDefault="00390AD9" w:rsidP="00390AD9">
      <w:pPr>
        <w:autoSpaceDE w:val="0"/>
        <w:autoSpaceDN w:val="0"/>
        <w:adjustRightInd w:val="0"/>
        <w:ind w:left="851"/>
        <w:rPr>
          <w:rFonts w:cs="Arial"/>
          <w:bCs/>
          <w:sz w:val="22"/>
        </w:rPr>
      </w:pPr>
      <w:r w:rsidRPr="005C083B">
        <w:rPr>
          <w:rFonts w:cs="Arial"/>
          <w:bCs/>
          <w:sz w:val="22"/>
        </w:rPr>
        <w:t>La Unidad Técnica de lo Contencioso Electoral, registró el procedimiento especial sancionador, identificado con el expediente</w:t>
      </w:r>
      <w:r w:rsidRPr="005C083B">
        <w:rPr>
          <w:rFonts w:cs="Arial"/>
          <w:sz w:val="22"/>
        </w:rPr>
        <w:t xml:space="preserve"> </w:t>
      </w:r>
      <w:r w:rsidRPr="00037D82">
        <w:rPr>
          <w:rFonts w:cs="Arial"/>
          <w:bCs/>
          <w:sz w:val="22"/>
        </w:rPr>
        <w:t>UT/SCG/CA/CG/22/2020</w:t>
      </w:r>
      <w:r w:rsidRPr="005C083B">
        <w:rPr>
          <w:rFonts w:cs="Arial"/>
          <w:bCs/>
          <w:sz w:val="22"/>
        </w:rPr>
        <w:t>.</w:t>
      </w:r>
    </w:p>
    <w:p w:rsidR="00390AD9" w:rsidRDefault="00390AD9" w:rsidP="00390AD9">
      <w:pPr>
        <w:autoSpaceDE w:val="0"/>
        <w:autoSpaceDN w:val="0"/>
        <w:adjustRightInd w:val="0"/>
        <w:ind w:left="851"/>
        <w:rPr>
          <w:rFonts w:cs="Arial"/>
          <w:bCs/>
          <w:sz w:val="22"/>
        </w:rPr>
      </w:pPr>
    </w:p>
    <w:p w:rsidR="00390AD9" w:rsidRDefault="00390AD9" w:rsidP="00390AD9">
      <w:pPr>
        <w:autoSpaceDE w:val="0"/>
        <w:autoSpaceDN w:val="0"/>
        <w:adjustRightInd w:val="0"/>
        <w:ind w:left="851"/>
        <w:rPr>
          <w:rFonts w:cs="Arial"/>
          <w:bCs/>
          <w:sz w:val="22"/>
        </w:rPr>
      </w:pPr>
      <w:r>
        <w:rPr>
          <w:rFonts w:cs="Arial"/>
          <w:bCs/>
          <w:sz w:val="22"/>
        </w:rPr>
        <w:t>En relación a esta vista, conviene señalar lo siguiente:</w:t>
      </w:r>
    </w:p>
    <w:p w:rsidR="00390AD9" w:rsidRDefault="00390AD9" w:rsidP="00390AD9">
      <w:pPr>
        <w:autoSpaceDE w:val="0"/>
        <w:autoSpaceDN w:val="0"/>
        <w:adjustRightInd w:val="0"/>
        <w:ind w:left="851"/>
        <w:rPr>
          <w:rFonts w:cs="Arial"/>
          <w:bCs/>
          <w:sz w:val="22"/>
        </w:rPr>
      </w:pPr>
    </w:p>
    <w:p w:rsidR="00390AD9" w:rsidRPr="006F5690" w:rsidRDefault="00390AD9" w:rsidP="00390AD9">
      <w:pPr>
        <w:autoSpaceDE w:val="0"/>
        <w:autoSpaceDN w:val="0"/>
        <w:adjustRightInd w:val="0"/>
        <w:ind w:left="851"/>
        <w:rPr>
          <w:rFonts w:cs="Arial"/>
          <w:bCs/>
          <w:sz w:val="22"/>
        </w:rPr>
      </w:pPr>
      <w:r w:rsidRPr="006F5690">
        <w:rPr>
          <w:rFonts w:cs="Arial"/>
          <w:bCs/>
          <w:sz w:val="22"/>
        </w:rPr>
        <w:t xml:space="preserve">El 29 de enero de 2019, el representante legal de Radio Red, S.A. de C.V, concesionario de la emisora XERED-AM, manifestó </w:t>
      </w:r>
      <w:r>
        <w:rPr>
          <w:rFonts w:cs="Arial"/>
          <w:bCs/>
          <w:sz w:val="22"/>
        </w:rPr>
        <w:t xml:space="preserve">a la Dirección de </w:t>
      </w:r>
      <w:r w:rsidRPr="006F5690">
        <w:rPr>
          <w:rFonts w:cs="Arial"/>
          <w:bCs/>
          <w:sz w:val="22"/>
        </w:rPr>
        <w:t>Administración de Tiempos del Estado en Radio y Televisión</w:t>
      </w:r>
      <w:r>
        <w:rPr>
          <w:rFonts w:cs="Arial"/>
          <w:bCs/>
          <w:sz w:val="22"/>
        </w:rPr>
        <w:t>,</w:t>
      </w:r>
      <w:r w:rsidRPr="006F5690">
        <w:rPr>
          <w:rFonts w:cs="Arial"/>
          <w:bCs/>
          <w:sz w:val="22"/>
        </w:rPr>
        <w:t xml:space="preserve"> que la emisora se vio obligada a suspender el servicio que presta de radiodifusión por causas de fuerza mayor y que dicha situación la hizo del conocimiento del IFT el 23 de enero del 2019.</w:t>
      </w:r>
    </w:p>
    <w:p w:rsidR="00390AD9" w:rsidRPr="006F5690" w:rsidRDefault="00390AD9" w:rsidP="00390AD9">
      <w:pPr>
        <w:autoSpaceDE w:val="0"/>
        <w:autoSpaceDN w:val="0"/>
        <w:adjustRightInd w:val="0"/>
        <w:ind w:left="851"/>
        <w:rPr>
          <w:rFonts w:cs="Arial"/>
          <w:bCs/>
          <w:sz w:val="22"/>
        </w:rPr>
      </w:pPr>
    </w:p>
    <w:p w:rsidR="00390AD9" w:rsidRPr="006F5690" w:rsidRDefault="00390AD9" w:rsidP="00390AD9">
      <w:pPr>
        <w:autoSpaceDE w:val="0"/>
        <w:autoSpaceDN w:val="0"/>
        <w:adjustRightInd w:val="0"/>
        <w:ind w:left="851"/>
        <w:rPr>
          <w:rFonts w:cs="Arial"/>
          <w:bCs/>
          <w:sz w:val="22"/>
        </w:rPr>
      </w:pPr>
      <w:r>
        <w:rPr>
          <w:rFonts w:cs="Arial"/>
          <w:bCs/>
          <w:sz w:val="22"/>
        </w:rPr>
        <w:t>Posteriormente, e</w:t>
      </w:r>
      <w:r w:rsidRPr="006F5690">
        <w:rPr>
          <w:rFonts w:cs="Arial"/>
          <w:bCs/>
          <w:sz w:val="22"/>
        </w:rPr>
        <w:t>l IFT, por medio de la Unidad de Concesiones y Servicios (en lo sucesivo la ‘UCS’ del Instituto, a través del oficio IFT/223/UCS/333/2019 notificado legalmente el 01 de abril de 2019, informó a la concesionaria en comento que no ha lugar su aviso de suspensión (por hecho fortuito/causa de fuerza mayor) toda vez que la terminación de su contrato de arrendamiento no se ubica en los extremos señalados en el primer párrafo del artículo 157 de la Ley, es decir, no se equipara a una causa de fuerza mayor.</w:t>
      </w:r>
    </w:p>
    <w:p w:rsidR="00390AD9" w:rsidRPr="006F5690" w:rsidRDefault="00390AD9" w:rsidP="00390AD9">
      <w:pPr>
        <w:autoSpaceDE w:val="0"/>
        <w:autoSpaceDN w:val="0"/>
        <w:adjustRightInd w:val="0"/>
        <w:ind w:left="851"/>
        <w:rPr>
          <w:rFonts w:cs="Arial"/>
          <w:bCs/>
          <w:sz w:val="22"/>
        </w:rPr>
      </w:pPr>
    </w:p>
    <w:p w:rsidR="00390AD9" w:rsidRPr="006F5690" w:rsidRDefault="00390AD9" w:rsidP="00390AD9">
      <w:pPr>
        <w:autoSpaceDE w:val="0"/>
        <w:autoSpaceDN w:val="0"/>
        <w:adjustRightInd w:val="0"/>
        <w:ind w:left="851"/>
        <w:rPr>
          <w:rFonts w:cs="Arial"/>
          <w:bCs/>
          <w:sz w:val="22"/>
        </w:rPr>
      </w:pPr>
      <w:r>
        <w:rPr>
          <w:rFonts w:cs="Arial"/>
          <w:bCs/>
          <w:sz w:val="22"/>
        </w:rPr>
        <w:t xml:space="preserve">En consecuencia, </w:t>
      </w:r>
      <w:r w:rsidRPr="006F5690">
        <w:rPr>
          <w:rFonts w:cs="Arial"/>
          <w:bCs/>
          <w:sz w:val="22"/>
        </w:rPr>
        <w:t xml:space="preserve">Radio Red, S.A. de C.V, interpuso juicio de amparo, radicado en el Juzgado Primero de Distrito en Materia Administrativa, Especializado en Competencia Económica, Radiodifusión y Telecomunicaciones (en adelante el Juzgado) con residencia en la Ciudad de México, bajo el número de expediente 303/2019, en contra del oficio IFT/223/UCS/333/2019, mediante el cual el IFT  informó al concesionario de referencia, que no ha lugar su aviso de suspensión en los términos precisados. </w:t>
      </w:r>
    </w:p>
    <w:p w:rsidR="00390AD9" w:rsidRPr="006F5690" w:rsidRDefault="00390AD9" w:rsidP="00390AD9">
      <w:pPr>
        <w:autoSpaceDE w:val="0"/>
        <w:autoSpaceDN w:val="0"/>
        <w:adjustRightInd w:val="0"/>
        <w:ind w:left="851"/>
        <w:rPr>
          <w:rFonts w:cs="Arial"/>
          <w:bCs/>
          <w:sz w:val="22"/>
        </w:rPr>
      </w:pPr>
    </w:p>
    <w:p w:rsidR="00390AD9" w:rsidRPr="006F5690" w:rsidRDefault="00390AD9" w:rsidP="00390AD9">
      <w:pPr>
        <w:autoSpaceDE w:val="0"/>
        <w:autoSpaceDN w:val="0"/>
        <w:adjustRightInd w:val="0"/>
        <w:ind w:left="851"/>
        <w:rPr>
          <w:rFonts w:cs="Arial"/>
          <w:bCs/>
          <w:sz w:val="22"/>
        </w:rPr>
      </w:pPr>
      <w:r w:rsidRPr="006F5690">
        <w:rPr>
          <w:rFonts w:cs="Arial"/>
          <w:bCs/>
          <w:sz w:val="22"/>
        </w:rPr>
        <w:t xml:space="preserve">El 27 de febrero de 2020, mediante oficio IFT/227/UAJ/DG-DEJU/0589/2020, la Dirección General de Defensa Jurídica del IFT, informó a esta autoridad que, el Juzgado concedió el amparo al concesionario referido, para efecto de dejar insubsistente el oficio IFT/223/UCS/333/2019, y en su lugar, el Pleno del IFT emitiera uno nuevo, acorde con las atribuciones que tiene conferidas por la normativa aplicable. Asimismo, informó que el IFT interpuso K5recurso de revisión en contra de la sentencia que concedió el amparo señalado. </w:t>
      </w:r>
    </w:p>
    <w:p w:rsidR="00390AD9" w:rsidRPr="006F5690" w:rsidRDefault="00390AD9" w:rsidP="00390AD9">
      <w:pPr>
        <w:autoSpaceDE w:val="0"/>
        <w:autoSpaceDN w:val="0"/>
        <w:adjustRightInd w:val="0"/>
        <w:ind w:left="851"/>
        <w:rPr>
          <w:rFonts w:cs="Arial"/>
          <w:bCs/>
          <w:sz w:val="22"/>
        </w:rPr>
      </w:pPr>
    </w:p>
    <w:p w:rsidR="00390AD9" w:rsidRPr="006F5690" w:rsidRDefault="00390AD9" w:rsidP="00390AD9">
      <w:pPr>
        <w:autoSpaceDE w:val="0"/>
        <w:autoSpaceDN w:val="0"/>
        <w:adjustRightInd w:val="0"/>
        <w:ind w:left="851"/>
        <w:rPr>
          <w:rFonts w:cs="Arial"/>
          <w:bCs/>
          <w:sz w:val="22"/>
        </w:rPr>
      </w:pPr>
      <w:r w:rsidRPr="006F5690">
        <w:rPr>
          <w:rFonts w:cs="Arial"/>
          <w:bCs/>
          <w:sz w:val="22"/>
        </w:rPr>
        <w:lastRenderedPageBreak/>
        <w:t>El 5 de marzo de 2020, el Tribunal Colegiado resolvió confirmar la sentencia del Juzgado, en la que se concedió el amparo a la emisora XERED-AM.</w:t>
      </w:r>
    </w:p>
    <w:p w:rsidR="00390AD9" w:rsidRPr="006F5690" w:rsidRDefault="00390AD9" w:rsidP="00390AD9">
      <w:pPr>
        <w:autoSpaceDE w:val="0"/>
        <w:autoSpaceDN w:val="0"/>
        <w:adjustRightInd w:val="0"/>
        <w:ind w:left="851"/>
        <w:rPr>
          <w:rFonts w:cs="Arial"/>
          <w:bCs/>
          <w:sz w:val="22"/>
        </w:rPr>
      </w:pPr>
    </w:p>
    <w:p w:rsidR="00390AD9" w:rsidRPr="006F5690" w:rsidRDefault="00390AD9" w:rsidP="00390AD9">
      <w:pPr>
        <w:autoSpaceDE w:val="0"/>
        <w:autoSpaceDN w:val="0"/>
        <w:adjustRightInd w:val="0"/>
        <w:ind w:left="851"/>
        <w:rPr>
          <w:rFonts w:cs="Arial"/>
          <w:bCs/>
          <w:sz w:val="22"/>
        </w:rPr>
      </w:pPr>
      <w:r w:rsidRPr="006F5690">
        <w:rPr>
          <w:rFonts w:cs="Arial"/>
          <w:bCs/>
          <w:sz w:val="22"/>
        </w:rPr>
        <w:t xml:space="preserve">El 17 de marzo de 2020, mediante oficio INE/DEPPP/STCRT/0689/2020, la Secretaría Técnica del CRT, solicitó al IFT informara el estado que guarda Radio Red, S.A. de C.V, concesionario de la emisora XERED-AM, 1110 </w:t>
      </w:r>
      <w:proofErr w:type="spellStart"/>
      <w:r w:rsidRPr="006F5690">
        <w:rPr>
          <w:rFonts w:cs="Arial"/>
          <w:bCs/>
          <w:sz w:val="22"/>
        </w:rPr>
        <w:t>Khz</w:t>
      </w:r>
      <w:proofErr w:type="spellEnd"/>
      <w:r w:rsidRPr="006F5690">
        <w:rPr>
          <w:rFonts w:cs="Arial"/>
          <w:bCs/>
          <w:sz w:val="22"/>
        </w:rPr>
        <w:t>., para estar en condiciones de verificar el cumplimiento de sus obligaciones, derivadas de la normativa electoral y relacionadas con la transmisión de mensajes de partidos políticos y autoridades electorales en el tiempo del Estado. Así como, constatar si el IFT emitió oficio alguno, en el que se informe al concesionario que, de conformidad con lo resuelto por el Tribunal Colegiado, ha lugar su aviso de suspensión de servicio.</w:t>
      </w:r>
    </w:p>
    <w:p w:rsidR="00390AD9" w:rsidRPr="006F5690" w:rsidRDefault="00390AD9" w:rsidP="00390AD9">
      <w:pPr>
        <w:autoSpaceDE w:val="0"/>
        <w:autoSpaceDN w:val="0"/>
        <w:adjustRightInd w:val="0"/>
        <w:ind w:left="851"/>
        <w:rPr>
          <w:rFonts w:cs="Arial"/>
          <w:bCs/>
          <w:sz w:val="22"/>
        </w:rPr>
      </w:pPr>
    </w:p>
    <w:p w:rsidR="00390AD9" w:rsidRPr="006F5690" w:rsidRDefault="00390AD9" w:rsidP="00390AD9">
      <w:pPr>
        <w:autoSpaceDE w:val="0"/>
        <w:autoSpaceDN w:val="0"/>
        <w:adjustRightInd w:val="0"/>
        <w:ind w:left="851"/>
        <w:rPr>
          <w:rFonts w:cs="Arial"/>
          <w:bCs/>
          <w:sz w:val="22"/>
        </w:rPr>
      </w:pPr>
      <w:r w:rsidRPr="006F5690">
        <w:rPr>
          <w:rFonts w:cs="Arial"/>
          <w:bCs/>
          <w:sz w:val="22"/>
        </w:rPr>
        <w:t>Dado que no se recibió respuesta por parte del IFT, el 24 de septiembre de 2020, mediante oficio INE/DEPPP/STCRT/0850/2020, la Secretaría Técnica del CRT, nuevamente solicitó al IFT información relacionada con la emisora referida.</w:t>
      </w:r>
    </w:p>
    <w:p w:rsidR="00390AD9" w:rsidRPr="006F5690" w:rsidRDefault="00390AD9" w:rsidP="00390AD9">
      <w:pPr>
        <w:autoSpaceDE w:val="0"/>
        <w:autoSpaceDN w:val="0"/>
        <w:adjustRightInd w:val="0"/>
        <w:ind w:left="851"/>
        <w:rPr>
          <w:rFonts w:cs="Arial"/>
          <w:bCs/>
          <w:sz w:val="22"/>
        </w:rPr>
      </w:pPr>
    </w:p>
    <w:p w:rsidR="00390AD9" w:rsidRPr="006F5690" w:rsidRDefault="00390AD9" w:rsidP="00390AD9">
      <w:pPr>
        <w:autoSpaceDE w:val="0"/>
        <w:autoSpaceDN w:val="0"/>
        <w:adjustRightInd w:val="0"/>
        <w:ind w:left="851"/>
        <w:rPr>
          <w:rFonts w:cs="Arial"/>
          <w:bCs/>
          <w:sz w:val="22"/>
        </w:rPr>
      </w:pPr>
      <w:r w:rsidRPr="006F5690">
        <w:rPr>
          <w:rFonts w:cs="Arial"/>
          <w:bCs/>
          <w:sz w:val="22"/>
        </w:rPr>
        <w:t>El 30 de septiembre, mediante oficio IFT/223/UCS/DGA-RPT/3006/2020, la Dirección General adjunta del Registro de Telecomunicaciones del IFT, informó a esta autoridad lo siguiente:</w:t>
      </w:r>
    </w:p>
    <w:p w:rsidR="00390AD9" w:rsidRPr="006F5690" w:rsidRDefault="00390AD9" w:rsidP="00390AD9">
      <w:pPr>
        <w:autoSpaceDE w:val="0"/>
        <w:autoSpaceDN w:val="0"/>
        <w:adjustRightInd w:val="0"/>
        <w:ind w:left="851"/>
        <w:rPr>
          <w:rFonts w:cs="Arial"/>
          <w:bCs/>
          <w:sz w:val="22"/>
        </w:rPr>
      </w:pPr>
      <w:r w:rsidRPr="006F5690">
        <w:rPr>
          <w:rFonts w:cs="Arial"/>
          <w:bCs/>
          <w:sz w:val="22"/>
        </w:rPr>
        <w:t>- Que el título de concesión para usar, aprovechas y explotar bandas de frecuencias del espectro radioeléctrico para uso comercial de la emisora XERED-AM a favor de Radio Red, S.A. de C.V., se encontraba vigente, el cual está inscrito en el portal del Registro Público de Concesiones.</w:t>
      </w:r>
    </w:p>
    <w:p w:rsidR="00390AD9" w:rsidRDefault="00390AD9" w:rsidP="00390AD9">
      <w:pPr>
        <w:autoSpaceDE w:val="0"/>
        <w:autoSpaceDN w:val="0"/>
        <w:adjustRightInd w:val="0"/>
        <w:ind w:left="851"/>
        <w:rPr>
          <w:rFonts w:cs="Arial"/>
          <w:bCs/>
          <w:sz w:val="22"/>
        </w:rPr>
      </w:pPr>
      <w:r w:rsidRPr="006F5690">
        <w:rPr>
          <w:rFonts w:cs="Arial"/>
          <w:bCs/>
          <w:sz w:val="22"/>
        </w:rPr>
        <w:t>- Que en relación al amparo promovido por la emisora y en cumplimiento a la ejecutoria dictada</w:t>
      </w:r>
      <w:r>
        <w:rPr>
          <w:rFonts w:cs="Arial"/>
          <w:bCs/>
          <w:sz w:val="22"/>
        </w:rPr>
        <w:t xml:space="preserve"> en el amparo en revisión 21/2020</w:t>
      </w:r>
      <w:r w:rsidRPr="006F5690">
        <w:rPr>
          <w:rFonts w:cs="Arial"/>
          <w:bCs/>
          <w:sz w:val="22"/>
        </w:rPr>
        <w:t>, el Pleno del I</w:t>
      </w:r>
      <w:r>
        <w:rPr>
          <w:rFonts w:cs="Arial"/>
          <w:bCs/>
          <w:sz w:val="22"/>
        </w:rPr>
        <w:t>FT, mediante Acuerdo P/IFT/020920/251,</w:t>
      </w:r>
      <w:r w:rsidRPr="006F5690">
        <w:rPr>
          <w:rFonts w:cs="Arial"/>
          <w:bCs/>
          <w:sz w:val="22"/>
        </w:rPr>
        <w:t xml:space="preserve"> dio respuesta al escrito presentado del 23 de enero de 2019, determinando que las manifestaciones vertidas en el aviso de interrupción de transmisiones no encuadran en los supuestos normativos indicados en el primer párrafo del artículo 157 de la Ley Federal de Telecomunicaciones y Radiodifusión</w:t>
      </w:r>
      <w:r>
        <w:rPr>
          <w:rFonts w:cs="Arial"/>
          <w:bCs/>
          <w:sz w:val="22"/>
        </w:rPr>
        <w:t xml:space="preserve">. E hizo del conocimiento de </w:t>
      </w:r>
      <w:r w:rsidRPr="006F5690">
        <w:rPr>
          <w:rFonts w:cs="Arial"/>
          <w:bCs/>
          <w:sz w:val="22"/>
        </w:rPr>
        <w:t>Radio Red, S.A. de C.V.,</w:t>
      </w:r>
      <w:r>
        <w:rPr>
          <w:rFonts w:cs="Arial"/>
          <w:bCs/>
          <w:sz w:val="22"/>
        </w:rPr>
        <w:t xml:space="preserve"> que la resolución referida, constituye un acto administrativo definitivo.</w:t>
      </w:r>
    </w:p>
    <w:p w:rsidR="00390AD9" w:rsidRDefault="00390AD9" w:rsidP="00390AD9">
      <w:pPr>
        <w:autoSpaceDE w:val="0"/>
        <w:autoSpaceDN w:val="0"/>
        <w:adjustRightInd w:val="0"/>
        <w:ind w:left="851"/>
        <w:rPr>
          <w:rFonts w:cs="Arial"/>
          <w:bCs/>
          <w:sz w:val="22"/>
        </w:rPr>
      </w:pPr>
    </w:p>
    <w:p w:rsidR="00390AD9" w:rsidRDefault="00390AD9" w:rsidP="00BF7879">
      <w:pPr>
        <w:autoSpaceDE w:val="0"/>
        <w:autoSpaceDN w:val="0"/>
        <w:adjustRightInd w:val="0"/>
        <w:ind w:left="851"/>
        <w:rPr>
          <w:rFonts w:cs="Arial"/>
          <w:bCs/>
          <w:sz w:val="22"/>
        </w:rPr>
      </w:pPr>
      <w:r>
        <w:rPr>
          <w:rFonts w:cs="Arial"/>
          <w:bCs/>
          <w:sz w:val="22"/>
        </w:rPr>
        <w:t xml:space="preserve">En consecuencia, </w:t>
      </w:r>
      <w:r w:rsidR="00BF7879" w:rsidRPr="00BF7879">
        <w:rPr>
          <w:rFonts w:cs="Arial"/>
          <w:bCs/>
          <w:sz w:val="22"/>
        </w:rPr>
        <w:t>el pasado 19 de noviembre, mediante oficio INE/DEPPP/DE/DATE/7736/2020, esta Dirección Ejecutiva presentó a la Secretaría Ejecutiva, la vista actualizada.</w:t>
      </w:r>
    </w:p>
    <w:p w:rsidR="00BF7879" w:rsidRDefault="00BF7879" w:rsidP="00BF7879">
      <w:pPr>
        <w:autoSpaceDE w:val="0"/>
        <w:autoSpaceDN w:val="0"/>
        <w:adjustRightInd w:val="0"/>
        <w:ind w:left="851"/>
        <w:rPr>
          <w:rFonts w:cs="Arial"/>
          <w:bCs/>
          <w:sz w:val="22"/>
        </w:rPr>
      </w:pPr>
    </w:p>
    <w:p w:rsidR="00390AD9" w:rsidRDefault="00390AD9" w:rsidP="00390AD9">
      <w:pPr>
        <w:pStyle w:val="Prrafodelista"/>
        <w:numPr>
          <w:ilvl w:val="0"/>
          <w:numId w:val="18"/>
        </w:numPr>
        <w:autoSpaceDE w:val="0"/>
        <w:autoSpaceDN w:val="0"/>
        <w:adjustRightInd w:val="0"/>
        <w:ind w:left="851" w:hanging="294"/>
        <w:rPr>
          <w:rFonts w:cs="Arial"/>
          <w:bCs/>
          <w:sz w:val="22"/>
        </w:rPr>
      </w:pPr>
      <w:r w:rsidRPr="0080266E">
        <w:rPr>
          <w:rFonts w:cs="Arial"/>
          <w:bCs/>
          <w:sz w:val="22"/>
        </w:rPr>
        <w:t>Mediante oficio INE/DEPPP/DE/DATE/7071/2020, esta Dirección Ejecutiva dio vista a la Secretaría Ejecutiva por la detección de Difusión de propaganda presuntamente contraria a la normatividad en relación con el Informe de labores del Presidente de la República</w:t>
      </w:r>
      <w:r>
        <w:rPr>
          <w:rFonts w:cs="Arial"/>
          <w:bCs/>
          <w:sz w:val="22"/>
        </w:rPr>
        <w:t>, por parte de diversas emisoras.</w:t>
      </w:r>
    </w:p>
    <w:p w:rsidR="00390AD9" w:rsidRDefault="00390AD9" w:rsidP="00390AD9">
      <w:pPr>
        <w:autoSpaceDE w:val="0"/>
        <w:autoSpaceDN w:val="0"/>
        <w:adjustRightInd w:val="0"/>
        <w:rPr>
          <w:rFonts w:cs="Arial"/>
          <w:bCs/>
          <w:sz w:val="22"/>
        </w:rPr>
      </w:pPr>
    </w:p>
    <w:p w:rsidR="00390AD9" w:rsidRDefault="00390AD9" w:rsidP="00390AD9">
      <w:pPr>
        <w:autoSpaceDE w:val="0"/>
        <w:autoSpaceDN w:val="0"/>
        <w:adjustRightInd w:val="0"/>
        <w:ind w:left="851"/>
        <w:rPr>
          <w:rFonts w:cs="Arial"/>
          <w:bCs/>
          <w:sz w:val="22"/>
        </w:rPr>
      </w:pPr>
      <w:r>
        <w:rPr>
          <w:rFonts w:cs="Arial"/>
          <w:bCs/>
          <w:sz w:val="22"/>
        </w:rPr>
        <w:t xml:space="preserve">La vista se encuentra en instrucción por parte de la </w:t>
      </w:r>
      <w:r w:rsidRPr="005C083B">
        <w:rPr>
          <w:rFonts w:cs="Arial"/>
          <w:bCs/>
          <w:sz w:val="22"/>
        </w:rPr>
        <w:t>Unidad Técnica de lo Contencioso Electoral</w:t>
      </w:r>
      <w:r>
        <w:rPr>
          <w:rFonts w:cs="Arial"/>
          <w:bCs/>
          <w:sz w:val="22"/>
        </w:rPr>
        <w:t xml:space="preserve">, con expediente </w:t>
      </w:r>
      <w:r w:rsidRPr="005C083B">
        <w:rPr>
          <w:rFonts w:cs="Arial"/>
          <w:bCs/>
          <w:sz w:val="22"/>
        </w:rPr>
        <w:t>identificado</w:t>
      </w:r>
      <w:r w:rsidR="00124767">
        <w:rPr>
          <w:rFonts w:cs="Arial"/>
          <w:bCs/>
          <w:sz w:val="22"/>
        </w:rPr>
        <w:t xml:space="preserve"> como</w:t>
      </w:r>
      <w:r w:rsidRPr="005C083B">
        <w:rPr>
          <w:rFonts w:cs="Arial"/>
          <w:bCs/>
          <w:sz w:val="22"/>
        </w:rPr>
        <w:t xml:space="preserve"> </w:t>
      </w:r>
      <w:r w:rsidRPr="00124767">
        <w:rPr>
          <w:rFonts w:cs="Arial"/>
          <w:bCs/>
          <w:sz w:val="22"/>
        </w:rPr>
        <w:t>UT/SCG/</w:t>
      </w:r>
      <w:r w:rsidR="00124767" w:rsidRPr="00124767">
        <w:rPr>
          <w:rFonts w:cs="Arial"/>
          <w:bCs/>
          <w:sz w:val="22"/>
        </w:rPr>
        <w:t>PE</w:t>
      </w:r>
      <w:r w:rsidRPr="00124767">
        <w:rPr>
          <w:rFonts w:cs="Arial"/>
          <w:bCs/>
          <w:sz w:val="22"/>
        </w:rPr>
        <w:t>/CG/</w:t>
      </w:r>
      <w:r w:rsidR="00124767" w:rsidRPr="00124767">
        <w:rPr>
          <w:rFonts w:cs="Arial"/>
          <w:bCs/>
          <w:sz w:val="22"/>
        </w:rPr>
        <w:t>80</w:t>
      </w:r>
      <w:r w:rsidRPr="00124767">
        <w:rPr>
          <w:rFonts w:cs="Arial"/>
          <w:bCs/>
          <w:sz w:val="22"/>
        </w:rPr>
        <w:t>/2020.</w:t>
      </w:r>
    </w:p>
    <w:p w:rsidR="00390AD9" w:rsidRDefault="00390AD9" w:rsidP="00390AD9">
      <w:pPr>
        <w:autoSpaceDE w:val="0"/>
        <w:autoSpaceDN w:val="0"/>
        <w:adjustRightInd w:val="0"/>
        <w:ind w:left="851"/>
        <w:rPr>
          <w:rFonts w:cs="Arial"/>
          <w:bCs/>
          <w:sz w:val="22"/>
        </w:rPr>
      </w:pPr>
    </w:p>
    <w:p w:rsidR="00390AD9" w:rsidRDefault="00390AD9" w:rsidP="00390AD9">
      <w:pPr>
        <w:autoSpaceDE w:val="0"/>
        <w:autoSpaceDN w:val="0"/>
        <w:adjustRightInd w:val="0"/>
        <w:ind w:left="851"/>
        <w:rPr>
          <w:rFonts w:cs="Arial"/>
          <w:bCs/>
          <w:sz w:val="22"/>
        </w:rPr>
      </w:pPr>
    </w:p>
    <w:p w:rsidR="00390AD9" w:rsidRPr="00390AD9" w:rsidRDefault="009E35D7" w:rsidP="00390AD9">
      <w:pPr>
        <w:pStyle w:val="Prrafodelista"/>
        <w:numPr>
          <w:ilvl w:val="0"/>
          <w:numId w:val="18"/>
        </w:numPr>
        <w:autoSpaceDE w:val="0"/>
        <w:autoSpaceDN w:val="0"/>
        <w:adjustRightInd w:val="0"/>
        <w:ind w:left="851" w:hanging="294"/>
        <w:rPr>
          <w:rFonts w:cs="Arial"/>
          <w:bCs/>
          <w:sz w:val="22"/>
        </w:rPr>
      </w:pPr>
      <w:r>
        <w:rPr>
          <w:rFonts w:cs="Arial"/>
          <w:bCs/>
          <w:sz w:val="22"/>
        </w:rPr>
        <w:t>El 28 de septiembre de 2020, m</w:t>
      </w:r>
      <w:r w:rsidR="00390AD9" w:rsidRPr="0080266E">
        <w:rPr>
          <w:rFonts w:cs="Arial"/>
          <w:bCs/>
          <w:sz w:val="22"/>
        </w:rPr>
        <w:t>ediante oficio INE/DEPPP/DE/DATE/7</w:t>
      </w:r>
      <w:r w:rsidR="00390AD9">
        <w:rPr>
          <w:rFonts w:cs="Arial"/>
          <w:bCs/>
          <w:sz w:val="22"/>
        </w:rPr>
        <w:t>197</w:t>
      </w:r>
      <w:r w:rsidR="00390AD9" w:rsidRPr="0080266E">
        <w:rPr>
          <w:rFonts w:cs="Arial"/>
          <w:bCs/>
          <w:sz w:val="22"/>
        </w:rPr>
        <w:t>/2020, esta Dirección Ejecutiva dio vista a la Secretaría Ejecutiva por</w:t>
      </w:r>
      <w:r w:rsidR="00390AD9" w:rsidRPr="00B846A8">
        <w:rPr>
          <w:rFonts w:cs="Arial"/>
          <w:bCs/>
          <w:sz w:val="22"/>
        </w:rPr>
        <w:t xml:space="preserve"> presuntos incumplimientos por parte de</w:t>
      </w:r>
      <w:r w:rsidR="00390AD9" w:rsidRPr="00B846A8">
        <w:rPr>
          <w:rFonts w:cs="Arial"/>
          <w:sz w:val="22"/>
        </w:rPr>
        <w:t xml:space="preserve"> </w:t>
      </w:r>
      <w:r w:rsidR="00390AD9" w:rsidRPr="00F86F35">
        <w:rPr>
          <w:rFonts w:cs="Arial"/>
          <w:sz w:val="22"/>
        </w:rPr>
        <w:t>Cadena Tres I, S.A. de C.V.</w:t>
      </w:r>
      <w:r w:rsidR="00390AD9">
        <w:rPr>
          <w:rFonts w:cs="Arial"/>
          <w:sz w:val="22"/>
        </w:rPr>
        <w:t>, concesionario de las emisoras</w:t>
      </w:r>
      <w:r w:rsidR="00390AD9" w:rsidRPr="00F86F35">
        <w:rPr>
          <w:rFonts w:cs="Arial"/>
          <w:sz w:val="22"/>
        </w:rPr>
        <w:t xml:space="preserve"> XHCTCA-TDT, XHCTTR-TDT, XHCTMZ-TDT, XHCTVL-TDT, XHCTLV-TDT y XHCTMD-TDT</w:t>
      </w:r>
      <w:r w:rsidR="00390AD9">
        <w:rPr>
          <w:rFonts w:cs="Arial"/>
          <w:sz w:val="22"/>
        </w:rPr>
        <w:t>, en los estados de Campeche, Coahuila, Sinaloa, Tabasco, Veracruz y Yucatán.</w:t>
      </w:r>
    </w:p>
    <w:p w:rsidR="00390AD9" w:rsidRDefault="00390AD9" w:rsidP="00390AD9">
      <w:pPr>
        <w:autoSpaceDE w:val="0"/>
        <w:autoSpaceDN w:val="0"/>
        <w:adjustRightInd w:val="0"/>
        <w:rPr>
          <w:rFonts w:cs="Arial"/>
          <w:bCs/>
          <w:sz w:val="22"/>
        </w:rPr>
      </w:pPr>
    </w:p>
    <w:p w:rsidR="00390AD9" w:rsidRDefault="00390AD9" w:rsidP="00390AD9">
      <w:pPr>
        <w:autoSpaceDE w:val="0"/>
        <w:autoSpaceDN w:val="0"/>
        <w:adjustRightInd w:val="0"/>
        <w:ind w:left="851"/>
        <w:rPr>
          <w:rFonts w:cs="Arial"/>
          <w:bCs/>
          <w:sz w:val="22"/>
        </w:rPr>
      </w:pPr>
      <w:r w:rsidRPr="005C083B">
        <w:rPr>
          <w:rFonts w:cs="Arial"/>
          <w:bCs/>
          <w:sz w:val="22"/>
        </w:rPr>
        <w:t>La Unidad Técnica de lo Contencioso Electoral, registró el procedimiento especial sancionador, identificado con el expediente</w:t>
      </w:r>
      <w:r w:rsidRPr="005C083B">
        <w:rPr>
          <w:rFonts w:cs="Arial"/>
          <w:sz w:val="22"/>
        </w:rPr>
        <w:t xml:space="preserve"> </w:t>
      </w:r>
      <w:r w:rsidRPr="00390AD9">
        <w:rPr>
          <w:rFonts w:cs="Arial"/>
          <w:bCs/>
          <w:sz w:val="22"/>
        </w:rPr>
        <w:t>UT/SCG/PE/CG/71/2020</w:t>
      </w:r>
      <w:r w:rsidRPr="005C083B">
        <w:rPr>
          <w:rFonts w:cs="Arial"/>
          <w:bCs/>
          <w:sz w:val="22"/>
        </w:rPr>
        <w:t>.</w:t>
      </w:r>
    </w:p>
    <w:p w:rsidR="00390AD9" w:rsidRDefault="00390AD9" w:rsidP="00390AD9">
      <w:pPr>
        <w:pStyle w:val="Prrafodelista"/>
        <w:autoSpaceDE w:val="0"/>
        <w:autoSpaceDN w:val="0"/>
        <w:adjustRightInd w:val="0"/>
        <w:ind w:left="851"/>
        <w:rPr>
          <w:rFonts w:cs="Arial"/>
          <w:bCs/>
          <w:sz w:val="22"/>
        </w:rPr>
      </w:pPr>
    </w:p>
    <w:p w:rsidR="00390AD9" w:rsidRPr="005F7267" w:rsidRDefault="00390AD9" w:rsidP="00390AD9">
      <w:pPr>
        <w:autoSpaceDE w:val="0"/>
        <w:autoSpaceDN w:val="0"/>
        <w:adjustRightInd w:val="0"/>
        <w:ind w:left="851"/>
        <w:rPr>
          <w:rFonts w:cs="Arial"/>
          <w:bCs/>
          <w:sz w:val="22"/>
        </w:rPr>
      </w:pPr>
      <w:r>
        <w:rPr>
          <w:rFonts w:cs="Arial"/>
          <w:bCs/>
          <w:sz w:val="22"/>
        </w:rPr>
        <w:t>El</w:t>
      </w:r>
      <w:r w:rsidRPr="005F7267">
        <w:rPr>
          <w:rFonts w:cs="Arial"/>
          <w:bCs/>
          <w:sz w:val="22"/>
        </w:rPr>
        <w:t xml:space="preserve"> pasado 5 de noviembre, la Sala Regional Especializada del Tribunal Electoral del Poder Judicial de la Federación, dictó sentencia recaída al expediente SRE-PSC-12/2020, mediante la cual determinó existente la infracción atribuida a Cadena Tres I, S.A. de C.V., imponiendo como sanción al concesionario que nos ocupa una multa, así como a la reposición correspondiente y vinculó a la Dirección Ejecutiva para la reposición de los tiempos y promocionales en términos de lo previsto en el Reglamento de Radio y Televisión en Materia Electoral emitido por el INE, de acuerdo a la viabilidad técnica.</w:t>
      </w:r>
    </w:p>
    <w:p w:rsidR="00390AD9" w:rsidRPr="005F7267" w:rsidRDefault="00390AD9" w:rsidP="00390AD9">
      <w:pPr>
        <w:autoSpaceDE w:val="0"/>
        <w:autoSpaceDN w:val="0"/>
        <w:adjustRightInd w:val="0"/>
        <w:ind w:left="851"/>
        <w:rPr>
          <w:rFonts w:cs="Arial"/>
          <w:bCs/>
          <w:sz w:val="22"/>
        </w:rPr>
      </w:pPr>
    </w:p>
    <w:p w:rsidR="00390AD9" w:rsidRDefault="00390AD9" w:rsidP="00390AD9">
      <w:pPr>
        <w:autoSpaceDE w:val="0"/>
        <w:autoSpaceDN w:val="0"/>
        <w:adjustRightInd w:val="0"/>
        <w:ind w:left="851"/>
        <w:rPr>
          <w:rFonts w:cs="Arial"/>
          <w:bCs/>
          <w:sz w:val="22"/>
        </w:rPr>
      </w:pPr>
      <w:r w:rsidRPr="005F7267">
        <w:rPr>
          <w:rFonts w:cs="Arial"/>
          <w:bCs/>
          <w:sz w:val="22"/>
        </w:rPr>
        <w:t xml:space="preserve">En </w:t>
      </w:r>
      <w:r>
        <w:rPr>
          <w:rFonts w:cs="Arial"/>
          <w:bCs/>
          <w:sz w:val="22"/>
        </w:rPr>
        <w:t xml:space="preserve">consecuencia, </w:t>
      </w:r>
      <w:r w:rsidRPr="005F7267">
        <w:rPr>
          <w:rFonts w:cs="Arial"/>
          <w:bCs/>
          <w:sz w:val="22"/>
        </w:rPr>
        <w:t>el proyecto de Acuerdo para la reposición correspondiente, está en integración.</w:t>
      </w:r>
    </w:p>
    <w:p w:rsidR="00390AD9" w:rsidRDefault="00390AD9" w:rsidP="00390AD9">
      <w:pPr>
        <w:autoSpaceDE w:val="0"/>
        <w:autoSpaceDN w:val="0"/>
        <w:adjustRightInd w:val="0"/>
        <w:ind w:left="851"/>
        <w:rPr>
          <w:rFonts w:cs="Arial"/>
          <w:bCs/>
          <w:sz w:val="22"/>
        </w:rPr>
      </w:pPr>
    </w:p>
    <w:p w:rsidR="00390AD9" w:rsidRDefault="00390AD9" w:rsidP="00072F0E">
      <w:pPr>
        <w:pStyle w:val="Prrafodelista"/>
        <w:autoSpaceDE w:val="0"/>
        <w:autoSpaceDN w:val="0"/>
        <w:adjustRightInd w:val="0"/>
        <w:ind w:left="284" w:right="-376"/>
        <w:jc w:val="center"/>
        <w:rPr>
          <w:rFonts w:cs="Arial"/>
          <w:b/>
          <w:bCs/>
          <w:sz w:val="22"/>
        </w:rPr>
      </w:pPr>
    </w:p>
    <w:p w:rsidR="008F660F" w:rsidRDefault="00232F22" w:rsidP="00072F0E">
      <w:pPr>
        <w:pStyle w:val="Prrafodelista"/>
        <w:autoSpaceDE w:val="0"/>
        <w:autoSpaceDN w:val="0"/>
        <w:adjustRightInd w:val="0"/>
        <w:ind w:left="284" w:right="-376"/>
        <w:jc w:val="center"/>
        <w:rPr>
          <w:rFonts w:cs="Arial"/>
          <w:b/>
          <w:bCs/>
          <w:sz w:val="22"/>
        </w:rPr>
      </w:pPr>
      <w:r>
        <w:rPr>
          <w:rFonts w:cs="Arial"/>
          <w:b/>
          <w:bCs/>
          <w:sz w:val="22"/>
        </w:rPr>
        <w:t xml:space="preserve">VISTAS </w:t>
      </w:r>
      <w:r w:rsidR="009D654F">
        <w:rPr>
          <w:rFonts w:cs="Arial"/>
          <w:b/>
          <w:bCs/>
          <w:sz w:val="22"/>
        </w:rPr>
        <w:t xml:space="preserve">EN INTEGRACIÓN POR </w:t>
      </w:r>
      <w:r w:rsidR="008F660F">
        <w:rPr>
          <w:rFonts w:cs="Arial"/>
          <w:b/>
          <w:bCs/>
          <w:sz w:val="22"/>
        </w:rPr>
        <w:t>PRESUNTOS INCUMPLIMIENTOS</w:t>
      </w:r>
    </w:p>
    <w:p w:rsidR="00B846A8" w:rsidRDefault="00B846A8" w:rsidP="00B846A8">
      <w:pPr>
        <w:autoSpaceDE w:val="0"/>
        <w:autoSpaceDN w:val="0"/>
        <w:adjustRightInd w:val="0"/>
        <w:rPr>
          <w:rFonts w:cs="Arial"/>
          <w:b/>
          <w:sz w:val="22"/>
        </w:rPr>
      </w:pPr>
    </w:p>
    <w:p w:rsidR="00AD6EBA" w:rsidRPr="00E60A6D" w:rsidRDefault="009D654F" w:rsidP="00E60A6D">
      <w:pPr>
        <w:pStyle w:val="Prrafodelista"/>
        <w:numPr>
          <w:ilvl w:val="0"/>
          <w:numId w:val="20"/>
        </w:numPr>
        <w:autoSpaceDE w:val="0"/>
        <w:autoSpaceDN w:val="0"/>
        <w:adjustRightInd w:val="0"/>
        <w:rPr>
          <w:rFonts w:cs="Arial"/>
          <w:bCs/>
          <w:sz w:val="22"/>
        </w:rPr>
      </w:pPr>
      <w:r w:rsidRPr="00E60A6D">
        <w:rPr>
          <w:rFonts w:cs="Arial"/>
          <w:bCs/>
          <w:sz w:val="22"/>
        </w:rPr>
        <w:t xml:space="preserve">Derivado de las actividades de verificación y monitoreo que realiza esta Dirección Ejecutiva, señaladas en el artículo 57 del Reglamento de radio y televisión en materia de radio y televisión, se detectaron presuntos incumplimientos </w:t>
      </w:r>
      <w:r w:rsidR="00394A0C" w:rsidRPr="00E60A6D">
        <w:rPr>
          <w:rFonts w:cs="Arial"/>
          <w:bCs/>
          <w:sz w:val="22"/>
        </w:rPr>
        <w:t xml:space="preserve">por parte de XEMCA del Golfo, S.A. de C.V., </w:t>
      </w:r>
      <w:r w:rsidR="00394A0C" w:rsidRPr="00E60A6D">
        <w:rPr>
          <w:rFonts w:cs="Arial"/>
          <w:sz w:val="22"/>
        </w:rPr>
        <w:t>concesionario de la emisora XHMCA-FM, en el estado de Veracruz</w:t>
      </w:r>
      <w:r w:rsidRPr="00E60A6D">
        <w:rPr>
          <w:rFonts w:cs="Arial"/>
          <w:sz w:val="22"/>
        </w:rPr>
        <w:t>, tal y como se muestra a continuación:</w:t>
      </w:r>
    </w:p>
    <w:p w:rsidR="009D654F" w:rsidRDefault="009D654F" w:rsidP="009D654F">
      <w:pPr>
        <w:autoSpaceDE w:val="0"/>
        <w:autoSpaceDN w:val="0"/>
        <w:adjustRightInd w:val="0"/>
        <w:rPr>
          <w:rFonts w:cs="Arial"/>
          <w:bCs/>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55"/>
        <w:gridCol w:w="1270"/>
        <w:gridCol w:w="1743"/>
        <w:gridCol w:w="1303"/>
        <w:gridCol w:w="2522"/>
      </w:tblGrid>
      <w:tr w:rsidR="009D654F" w:rsidRPr="009D654F" w:rsidTr="0058113E">
        <w:trPr>
          <w:trHeight w:val="1080"/>
          <w:jc w:val="center"/>
        </w:trPr>
        <w:tc>
          <w:tcPr>
            <w:tcW w:w="2655" w:type="dxa"/>
            <w:shd w:val="clear" w:color="auto" w:fill="D9D9D9" w:themeFill="background1" w:themeFillShade="D9"/>
            <w:vAlign w:val="center"/>
            <w:hideMark/>
          </w:tcPr>
          <w:p w:rsidR="009D654F" w:rsidRPr="009D654F" w:rsidRDefault="009D654F" w:rsidP="0058113E">
            <w:pPr>
              <w:ind w:right="272"/>
              <w:jc w:val="center"/>
              <w:rPr>
                <w:rFonts w:eastAsia="Times New Roman" w:cs="Arial"/>
                <w:b/>
                <w:bCs/>
                <w:color w:val="000000"/>
                <w:sz w:val="18"/>
                <w:szCs w:val="18"/>
                <w:lang w:eastAsia="es-MX"/>
              </w:rPr>
            </w:pPr>
            <w:r w:rsidRPr="009D654F">
              <w:rPr>
                <w:rFonts w:eastAsia="Times New Roman" w:cs="Arial"/>
                <w:b/>
                <w:bCs/>
                <w:color w:val="000000"/>
                <w:sz w:val="18"/>
                <w:szCs w:val="18"/>
                <w:lang w:eastAsia="es-MX"/>
              </w:rPr>
              <w:t>Concesionario y emisora</w:t>
            </w:r>
          </w:p>
        </w:tc>
        <w:tc>
          <w:tcPr>
            <w:tcW w:w="1270" w:type="dxa"/>
            <w:shd w:val="clear" w:color="auto" w:fill="D9D9D9" w:themeFill="background1" w:themeFillShade="D9"/>
            <w:vAlign w:val="center"/>
            <w:hideMark/>
          </w:tcPr>
          <w:p w:rsidR="009D654F" w:rsidRPr="009D654F" w:rsidRDefault="009D654F" w:rsidP="0058113E">
            <w:pPr>
              <w:ind w:right="272"/>
              <w:jc w:val="center"/>
              <w:rPr>
                <w:rFonts w:eastAsia="Times New Roman" w:cs="Arial"/>
                <w:b/>
                <w:bCs/>
                <w:color w:val="000000"/>
                <w:sz w:val="18"/>
                <w:szCs w:val="18"/>
                <w:lang w:eastAsia="es-MX"/>
              </w:rPr>
            </w:pPr>
            <w:r w:rsidRPr="009D654F">
              <w:rPr>
                <w:rFonts w:eastAsia="Times New Roman" w:cs="Arial"/>
                <w:b/>
                <w:bCs/>
                <w:color w:val="000000"/>
                <w:sz w:val="18"/>
                <w:szCs w:val="18"/>
                <w:lang w:eastAsia="es-MX"/>
              </w:rPr>
              <w:t>Entidad</w:t>
            </w:r>
          </w:p>
        </w:tc>
        <w:tc>
          <w:tcPr>
            <w:tcW w:w="1743" w:type="dxa"/>
            <w:shd w:val="clear" w:color="auto" w:fill="D9D9D9" w:themeFill="background1" w:themeFillShade="D9"/>
            <w:vAlign w:val="center"/>
            <w:hideMark/>
          </w:tcPr>
          <w:p w:rsidR="009D654F" w:rsidRPr="009D654F" w:rsidRDefault="009D654F" w:rsidP="0058113E">
            <w:pPr>
              <w:ind w:right="272"/>
              <w:jc w:val="center"/>
              <w:rPr>
                <w:rFonts w:eastAsia="Times New Roman" w:cs="Arial"/>
                <w:b/>
                <w:bCs/>
                <w:color w:val="000000"/>
                <w:sz w:val="18"/>
                <w:szCs w:val="18"/>
                <w:lang w:eastAsia="es-MX"/>
              </w:rPr>
            </w:pPr>
            <w:r w:rsidRPr="009D654F">
              <w:rPr>
                <w:rFonts w:eastAsia="Times New Roman" w:cs="Arial"/>
                <w:b/>
                <w:bCs/>
                <w:color w:val="000000"/>
                <w:sz w:val="18"/>
                <w:szCs w:val="18"/>
                <w:lang w:eastAsia="es-MX"/>
              </w:rPr>
              <w:t>Tipo de incumplimiento</w:t>
            </w:r>
          </w:p>
        </w:tc>
        <w:tc>
          <w:tcPr>
            <w:tcW w:w="1303" w:type="dxa"/>
            <w:shd w:val="clear" w:color="auto" w:fill="D9D9D9" w:themeFill="background1" w:themeFillShade="D9"/>
            <w:vAlign w:val="center"/>
          </w:tcPr>
          <w:p w:rsidR="009D654F" w:rsidRPr="009D654F" w:rsidRDefault="009D654F" w:rsidP="0058113E">
            <w:pPr>
              <w:ind w:right="272"/>
              <w:jc w:val="center"/>
              <w:rPr>
                <w:rFonts w:eastAsia="Times New Roman" w:cs="Arial"/>
                <w:b/>
                <w:bCs/>
                <w:color w:val="000000"/>
                <w:sz w:val="18"/>
                <w:szCs w:val="18"/>
                <w:lang w:eastAsia="es-MX"/>
              </w:rPr>
            </w:pPr>
            <w:r>
              <w:rPr>
                <w:rFonts w:eastAsia="Times New Roman" w:cs="Arial"/>
                <w:b/>
                <w:bCs/>
                <w:color w:val="000000"/>
                <w:sz w:val="18"/>
                <w:szCs w:val="18"/>
                <w:lang w:eastAsia="es-MX"/>
              </w:rPr>
              <w:t>No. de omisiones</w:t>
            </w:r>
          </w:p>
        </w:tc>
        <w:tc>
          <w:tcPr>
            <w:tcW w:w="2522" w:type="dxa"/>
            <w:shd w:val="clear" w:color="auto" w:fill="D9D9D9" w:themeFill="background1" w:themeFillShade="D9"/>
            <w:vAlign w:val="center"/>
          </w:tcPr>
          <w:p w:rsidR="009D654F" w:rsidRPr="009D654F" w:rsidRDefault="009D654F" w:rsidP="0058113E">
            <w:pPr>
              <w:ind w:right="272"/>
              <w:jc w:val="center"/>
              <w:rPr>
                <w:rFonts w:eastAsia="Times New Roman" w:cs="Arial"/>
                <w:b/>
                <w:bCs/>
                <w:color w:val="000000"/>
                <w:sz w:val="18"/>
                <w:szCs w:val="18"/>
                <w:lang w:eastAsia="es-MX"/>
              </w:rPr>
            </w:pPr>
            <w:r w:rsidRPr="009D654F">
              <w:rPr>
                <w:rFonts w:eastAsia="Times New Roman" w:cs="Arial"/>
                <w:b/>
                <w:bCs/>
                <w:color w:val="000000"/>
                <w:sz w:val="18"/>
                <w:szCs w:val="18"/>
                <w:lang w:eastAsia="es-MX"/>
              </w:rPr>
              <w:t>Periodo de incumplimiento</w:t>
            </w:r>
          </w:p>
        </w:tc>
      </w:tr>
      <w:tr w:rsidR="009D654F" w:rsidRPr="009D654F" w:rsidTr="0058113E">
        <w:trPr>
          <w:trHeight w:val="864"/>
          <w:jc w:val="center"/>
        </w:trPr>
        <w:tc>
          <w:tcPr>
            <w:tcW w:w="2655" w:type="dxa"/>
            <w:shd w:val="clear" w:color="auto" w:fill="auto"/>
            <w:vAlign w:val="center"/>
            <w:hideMark/>
          </w:tcPr>
          <w:p w:rsidR="009D654F" w:rsidRPr="009D654F" w:rsidRDefault="009D654F" w:rsidP="0058113E">
            <w:pPr>
              <w:ind w:right="272"/>
              <w:jc w:val="center"/>
              <w:rPr>
                <w:rFonts w:eastAsia="Times New Roman" w:cs="Arial"/>
                <w:color w:val="000000"/>
                <w:sz w:val="18"/>
                <w:szCs w:val="18"/>
                <w:lang w:eastAsia="es-MX"/>
              </w:rPr>
            </w:pPr>
            <w:r w:rsidRPr="009D654F">
              <w:rPr>
                <w:rFonts w:eastAsia="Times New Roman" w:cs="Arial"/>
                <w:color w:val="000000"/>
                <w:sz w:val="18"/>
                <w:szCs w:val="18"/>
                <w:lang w:eastAsia="es-MX"/>
              </w:rPr>
              <w:t>XEMCA del Golfo, S.A. de C.V.</w:t>
            </w:r>
            <w:r w:rsidRPr="009D654F">
              <w:rPr>
                <w:rFonts w:eastAsia="Times New Roman" w:cs="Arial"/>
                <w:color w:val="000000"/>
                <w:sz w:val="18"/>
                <w:szCs w:val="18"/>
                <w:lang w:eastAsia="es-MX"/>
              </w:rPr>
              <w:br/>
              <w:t>(XHMCA-FM)</w:t>
            </w:r>
          </w:p>
        </w:tc>
        <w:tc>
          <w:tcPr>
            <w:tcW w:w="1270" w:type="dxa"/>
            <w:shd w:val="clear" w:color="auto" w:fill="auto"/>
            <w:vAlign w:val="center"/>
            <w:hideMark/>
          </w:tcPr>
          <w:p w:rsidR="009D654F" w:rsidRPr="009D654F" w:rsidRDefault="009D654F" w:rsidP="0058113E">
            <w:pPr>
              <w:ind w:right="272"/>
              <w:jc w:val="center"/>
              <w:rPr>
                <w:rFonts w:eastAsia="Times New Roman" w:cs="Arial"/>
                <w:color w:val="000000"/>
                <w:sz w:val="18"/>
                <w:szCs w:val="18"/>
                <w:lang w:eastAsia="es-MX"/>
              </w:rPr>
            </w:pPr>
            <w:r w:rsidRPr="009D654F">
              <w:rPr>
                <w:rFonts w:eastAsia="Times New Roman" w:cs="Arial"/>
                <w:color w:val="000000"/>
                <w:sz w:val="18"/>
                <w:szCs w:val="18"/>
                <w:lang w:eastAsia="es-MX"/>
              </w:rPr>
              <w:t>Veracruz</w:t>
            </w:r>
          </w:p>
        </w:tc>
        <w:tc>
          <w:tcPr>
            <w:tcW w:w="1743" w:type="dxa"/>
            <w:shd w:val="clear" w:color="auto" w:fill="auto"/>
            <w:vAlign w:val="center"/>
            <w:hideMark/>
          </w:tcPr>
          <w:p w:rsidR="009D654F" w:rsidRPr="009D654F" w:rsidRDefault="009D654F" w:rsidP="0058113E">
            <w:pPr>
              <w:ind w:right="272"/>
              <w:jc w:val="center"/>
              <w:rPr>
                <w:rFonts w:eastAsia="Times New Roman" w:cs="Arial"/>
                <w:color w:val="000000"/>
                <w:sz w:val="18"/>
                <w:szCs w:val="18"/>
                <w:lang w:eastAsia="es-MX"/>
              </w:rPr>
            </w:pPr>
            <w:r w:rsidRPr="009D654F">
              <w:rPr>
                <w:rFonts w:eastAsia="Times New Roman" w:cs="Arial"/>
                <w:color w:val="000000"/>
                <w:sz w:val="18"/>
                <w:szCs w:val="18"/>
                <w:lang w:eastAsia="es-MX"/>
              </w:rPr>
              <w:t>Omisiones</w:t>
            </w:r>
          </w:p>
        </w:tc>
        <w:tc>
          <w:tcPr>
            <w:tcW w:w="1303" w:type="dxa"/>
            <w:shd w:val="clear" w:color="auto" w:fill="auto"/>
            <w:vAlign w:val="center"/>
          </w:tcPr>
          <w:p w:rsidR="009D654F" w:rsidRPr="009D654F" w:rsidRDefault="0058113E" w:rsidP="0058113E">
            <w:pPr>
              <w:ind w:right="272"/>
              <w:jc w:val="center"/>
              <w:rPr>
                <w:rFonts w:eastAsia="Times New Roman" w:cs="Arial"/>
                <w:color w:val="000000"/>
                <w:sz w:val="18"/>
                <w:szCs w:val="18"/>
                <w:lang w:eastAsia="es-MX"/>
              </w:rPr>
            </w:pPr>
            <w:r>
              <w:rPr>
                <w:rFonts w:eastAsia="Times New Roman" w:cs="Arial"/>
                <w:color w:val="000000"/>
                <w:sz w:val="18"/>
                <w:szCs w:val="18"/>
                <w:lang w:eastAsia="es-MX"/>
              </w:rPr>
              <w:t>552</w:t>
            </w:r>
          </w:p>
        </w:tc>
        <w:tc>
          <w:tcPr>
            <w:tcW w:w="2522" w:type="dxa"/>
            <w:vAlign w:val="center"/>
          </w:tcPr>
          <w:p w:rsidR="009D654F" w:rsidRPr="009D654F" w:rsidRDefault="009D654F" w:rsidP="0058113E">
            <w:pPr>
              <w:ind w:right="272"/>
              <w:jc w:val="center"/>
              <w:rPr>
                <w:rFonts w:eastAsia="Times New Roman" w:cs="Arial"/>
                <w:color w:val="000000"/>
                <w:sz w:val="18"/>
                <w:szCs w:val="18"/>
                <w:lang w:eastAsia="es-MX"/>
              </w:rPr>
            </w:pPr>
            <w:r w:rsidRPr="009D654F">
              <w:rPr>
                <w:rFonts w:eastAsia="Times New Roman" w:cs="Arial"/>
                <w:color w:val="000000"/>
                <w:sz w:val="18"/>
                <w:szCs w:val="18"/>
                <w:lang w:eastAsia="es-MX"/>
              </w:rPr>
              <w:t>16 al 30 de junio, del 1 al 31 de julio y del 1 al 15 de agosto de 2020</w:t>
            </w:r>
          </w:p>
        </w:tc>
      </w:tr>
    </w:tbl>
    <w:p w:rsidR="009D654F" w:rsidRPr="009D654F" w:rsidRDefault="009D654F" w:rsidP="009D654F">
      <w:pPr>
        <w:autoSpaceDE w:val="0"/>
        <w:autoSpaceDN w:val="0"/>
        <w:adjustRightInd w:val="0"/>
        <w:rPr>
          <w:rFonts w:cs="Arial"/>
          <w:bCs/>
          <w:sz w:val="22"/>
        </w:rPr>
      </w:pPr>
    </w:p>
    <w:p w:rsidR="009D654F" w:rsidRPr="009D654F" w:rsidRDefault="009D654F" w:rsidP="009D654F">
      <w:pPr>
        <w:autoSpaceDE w:val="0"/>
        <w:autoSpaceDN w:val="0"/>
        <w:adjustRightInd w:val="0"/>
        <w:rPr>
          <w:rFonts w:cs="Arial"/>
          <w:bCs/>
          <w:sz w:val="22"/>
        </w:rPr>
      </w:pPr>
    </w:p>
    <w:p w:rsidR="00AD6EBA" w:rsidRPr="00AC2F8A" w:rsidRDefault="0058113E" w:rsidP="00AC2F8A">
      <w:pPr>
        <w:pStyle w:val="Prrafodelista"/>
        <w:numPr>
          <w:ilvl w:val="0"/>
          <w:numId w:val="20"/>
        </w:numPr>
        <w:autoSpaceDE w:val="0"/>
        <w:autoSpaceDN w:val="0"/>
        <w:adjustRightInd w:val="0"/>
        <w:rPr>
          <w:rFonts w:cs="Arial"/>
          <w:bCs/>
          <w:sz w:val="22"/>
        </w:rPr>
      </w:pPr>
      <w:r w:rsidRPr="00AC2F8A">
        <w:rPr>
          <w:rFonts w:cs="Arial"/>
          <w:bCs/>
          <w:sz w:val="22"/>
        </w:rPr>
        <w:t xml:space="preserve">Derivado de las actividades de verificación y monitoreo que realiza esta Dirección Ejecutiva, señaladas en el artículo 57 del Reglamento de radio y televisión en materia de radio y televisión, se detectaron presuntos incumplimientos por parte de </w:t>
      </w:r>
      <w:r w:rsidR="00394A0C" w:rsidRPr="00AC2F8A">
        <w:rPr>
          <w:rFonts w:cs="Arial"/>
          <w:bCs/>
          <w:sz w:val="22"/>
        </w:rPr>
        <w:t xml:space="preserve">Gobierno del Estado de Sonora, </w:t>
      </w:r>
      <w:r w:rsidR="00394A0C" w:rsidRPr="00AC2F8A">
        <w:rPr>
          <w:rFonts w:cs="Arial"/>
          <w:sz w:val="22"/>
        </w:rPr>
        <w:t>concesionario de la emisora XHCRS-FM, en el estado de Sonora</w:t>
      </w:r>
      <w:r w:rsidRPr="00AC2F8A">
        <w:rPr>
          <w:rFonts w:cs="Arial"/>
          <w:sz w:val="22"/>
        </w:rPr>
        <w:t>, tal y como se muestra a continuación:</w:t>
      </w:r>
    </w:p>
    <w:p w:rsidR="0058113E" w:rsidRDefault="0058113E" w:rsidP="0058113E">
      <w:pPr>
        <w:pStyle w:val="Prrafodelista"/>
        <w:autoSpaceDE w:val="0"/>
        <w:autoSpaceDN w:val="0"/>
        <w:adjustRightInd w:val="0"/>
        <w:ind w:left="426"/>
        <w:rPr>
          <w:rFonts w:cs="Arial"/>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55"/>
        <w:gridCol w:w="1270"/>
        <w:gridCol w:w="1743"/>
        <w:gridCol w:w="1303"/>
        <w:gridCol w:w="2522"/>
      </w:tblGrid>
      <w:tr w:rsidR="0058113E" w:rsidRPr="0058113E" w:rsidTr="0052205F">
        <w:trPr>
          <w:trHeight w:val="1080"/>
          <w:jc w:val="center"/>
        </w:trPr>
        <w:tc>
          <w:tcPr>
            <w:tcW w:w="2655" w:type="dxa"/>
            <w:shd w:val="clear" w:color="auto" w:fill="D9D9D9" w:themeFill="background1" w:themeFillShade="D9"/>
            <w:vAlign w:val="center"/>
            <w:hideMark/>
          </w:tcPr>
          <w:p w:rsidR="0058113E" w:rsidRPr="009D654F" w:rsidRDefault="0058113E" w:rsidP="0052205F">
            <w:pPr>
              <w:ind w:right="272"/>
              <w:jc w:val="center"/>
              <w:rPr>
                <w:rFonts w:eastAsia="Times New Roman" w:cs="Arial"/>
                <w:b/>
                <w:bCs/>
                <w:color w:val="000000"/>
                <w:sz w:val="18"/>
                <w:szCs w:val="18"/>
                <w:lang w:eastAsia="es-MX"/>
              </w:rPr>
            </w:pPr>
            <w:r w:rsidRPr="009D654F">
              <w:rPr>
                <w:rFonts w:eastAsia="Times New Roman" w:cs="Arial"/>
                <w:b/>
                <w:bCs/>
                <w:color w:val="000000"/>
                <w:sz w:val="18"/>
                <w:szCs w:val="18"/>
                <w:lang w:eastAsia="es-MX"/>
              </w:rPr>
              <w:t>Concesionario y emisora</w:t>
            </w:r>
          </w:p>
        </w:tc>
        <w:tc>
          <w:tcPr>
            <w:tcW w:w="1270" w:type="dxa"/>
            <w:shd w:val="clear" w:color="auto" w:fill="D9D9D9" w:themeFill="background1" w:themeFillShade="D9"/>
            <w:vAlign w:val="center"/>
            <w:hideMark/>
          </w:tcPr>
          <w:p w:rsidR="0058113E" w:rsidRPr="009D654F" w:rsidRDefault="0058113E" w:rsidP="0052205F">
            <w:pPr>
              <w:ind w:right="272"/>
              <w:jc w:val="center"/>
              <w:rPr>
                <w:rFonts w:eastAsia="Times New Roman" w:cs="Arial"/>
                <w:b/>
                <w:bCs/>
                <w:color w:val="000000"/>
                <w:sz w:val="18"/>
                <w:szCs w:val="18"/>
                <w:lang w:eastAsia="es-MX"/>
              </w:rPr>
            </w:pPr>
            <w:r w:rsidRPr="009D654F">
              <w:rPr>
                <w:rFonts w:eastAsia="Times New Roman" w:cs="Arial"/>
                <w:b/>
                <w:bCs/>
                <w:color w:val="000000"/>
                <w:sz w:val="18"/>
                <w:szCs w:val="18"/>
                <w:lang w:eastAsia="es-MX"/>
              </w:rPr>
              <w:t>Entidad</w:t>
            </w:r>
          </w:p>
        </w:tc>
        <w:tc>
          <w:tcPr>
            <w:tcW w:w="1743" w:type="dxa"/>
            <w:shd w:val="clear" w:color="auto" w:fill="D9D9D9" w:themeFill="background1" w:themeFillShade="D9"/>
            <w:vAlign w:val="center"/>
            <w:hideMark/>
          </w:tcPr>
          <w:p w:rsidR="0058113E" w:rsidRPr="009D654F" w:rsidRDefault="0058113E" w:rsidP="0052205F">
            <w:pPr>
              <w:ind w:right="272"/>
              <w:jc w:val="center"/>
              <w:rPr>
                <w:rFonts w:eastAsia="Times New Roman" w:cs="Arial"/>
                <w:b/>
                <w:bCs/>
                <w:color w:val="000000"/>
                <w:sz w:val="18"/>
                <w:szCs w:val="18"/>
                <w:lang w:eastAsia="es-MX"/>
              </w:rPr>
            </w:pPr>
            <w:r w:rsidRPr="009D654F">
              <w:rPr>
                <w:rFonts w:eastAsia="Times New Roman" w:cs="Arial"/>
                <w:b/>
                <w:bCs/>
                <w:color w:val="000000"/>
                <w:sz w:val="18"/>
                <w:szCs w:val="18"/>
                <w:lang w:eastAsia="es-MX"/>
              </w:rPr>
              <w:t>Tipo de incumplimiento</w:t>
            </w:r>
          </w:p>
        </w:tc>
        <w:tc>
          <w:tcPr>
            <w:tcW w:w="1303" w:type="dxa"/>
            <w:shd w:val="clear" w:color="auto" w:fill="D9D9D9" w:themeFill="background1" w:themeFillShade="D9"/>
            <w:vAlign w:val="center"/>
          </w:tcPr>
          <w:p w:rsidR="0058113E" w:rsidRPr="009D654F" w:rsidRDefault="0058113E" w:rsidP="0052205F">
            <w:pPr>
              <w:ind w:right="272"/>
              <w:jc w:val="center"/>
              <w:rPr>
                <w:rFonts w:eastAsia="Times New Roman" w:cs="Arial"/>
                <w:b/>
                <w:bCs/>
                <w:color w:val="000000"/>
                <w:sz w:val="18"/>
                <w:szCs w:val="18"/>
                <w:lang w:eastAsia="es-MX"/>
              </w:rPr>
            </w:pPr>
            <w:r w:rsidRPr="0058113E">
              <w:rPr>
                <w:rFonts w:eastAsia="Times New Roman" w:cs="Arial"/>
                <w:b/>
                <w:bCs/>
                <w:color w:val="000000"/>
                <w:sz w:val="18"/>
                <w:szCs w:val="18"/>
                <w:lang w:eastAsia="es-MX"/>
              </w:rPr>
              <w:t>No. de omisiones</w:t>
            </w:r>
          </w:p>
        </w:tc>
        <w:tc>
          <w:tcPr>
            <w:tcW w:w="2522" w:type="dxa"/>
            <w:shd w:val="clear" w:color="auto" w:fill="D9D9D9" w:themeFill="background1" w:themeFillShade="D9"/>
            <w:vAlign w:val="center"/>
          </w:tcPr>
          <w:p w:rsidR="0058113E" w:rsidRPr="0058113E" w:rsidRDefault="0058113E" w:rsidP="0052205F">
            <w:pPr>
              <w:ind w:right="272"/>
              <w:jc w:val="center"/>
              <w:rPr>
                <w:rFonts w:eastAsia="Times New Roman" w:cs="Arial"/>
                <w:b/>
                <w:bCs/>
                <w:color w:val="000000"/>
                <w:sz w:val="18"/>
                <w:szCs w:val="18"/>
                <w:lang w:eastAsia="es-MX"/>
              </w:rPr>
            </w:pPr>
            <w:r w:rsidRPr="009D654F">
              <w:rPr>
                <w:rFonts w:eastAsia="Times New Roman" w:cs="Arial"/>
                <w:b/>
                <w:bCs/>
                <w:color w:val="000000"/>
                <w:sz w:val="18"/>
                <w:szCs w:val="18"/>
                <w:lang w:eastAsia="es-MX"/>
              </w:rPr>
              <w:t>Periodo de incumplimiento</w:t>
            </w:r>
          </w:p>
        </w:tc>
      </w:tr>
      <w:tr w:rsidR="0058113E" w:rsidRPr="0058113E" w:rsidTr="0052205F">
        <w:trPr>
          <w:trHeight w:val="864"/>
          <w:jc w:val="center"/>
        </w:trPr>
        <w:tc>
          <w:tcPr>
            <w:tcW w:w="2655" w:type="dxa"/>
            <w:shd w:val="clear" w:color="auto" w:fill="auto"/>
            <w:vAlign w:val="center"/>
            <w:hideMark/>
          </w:tcPr>
          <w:p w:rsidR="0058113E" w:rsidRPr="0058113E" w:rsidRDefault="0058113E" w:rsidP="0058113E">
            <w:pPr>
              <w:jc w:val="center"/>
              <w:rPr>
                <w:rFonts w:eastAsia="Times New Roman" w:cs="Arial"/>
                <w:color w:val="000000"/>
                <w:sz w:val="18"/>
                <w:szCs w:val="18"/>
              </w:rPr>
            </w:pPr>
            <w:r w:rsidRPr="0058113E">
              <w:rPr>
                <w:rFonts w:cs="Arial"/>
                <w:color w:val="000000"/>
                <w:sz w:val="18"/>
                <w:szCs w:val="18"/>
              </w:rPr>
              <w:t>Gobierno del Estado de Sonora</w:t>
            </w:r>
            <w:r w:rsidRPr="0058113E">
              <w:rPr>
                <w:rFonts w:cs="Arial"/>
                <w:color w:val="000000"/>
                <w:sz w:val="18"/>
                <w:szCs w:val="18"/>
              </w:rPr>
              <w:br/>
              <w:t>(XHCRS-FM)</w:t>
            </w:r>
          </w:p>
        </w:tc>
        <w:tc>
          <w:tcPr>
            <w:tcW w:w="1270" w:type="dxa"/>
            <w:shd w:val="clear" w:color="auto" w:fill="auto"/>
            <w:vAlign w:val="center"/>
            <w:hideMark/>
          </w:tcPr>
          <w:p w:rsidR="0058113E" w:rsidRPr="0058113E" w:rsidRDefault="0058113E" w:rsidP="0058113E">
            <w:pPr>
              <w:jc w:val="center"/>
              <w:rPr>
                <w:rFonts w:cs="Arial"/>
                <w:color w:val="000000"/>
                <w:sz w:val="18"/>
                <w:szCs w:val="18"/>
              </w:rPr>
            </w:pPr>
            <w:r w:rsidRPr="0058113E">
              <w:rPr>
                <w:rFonts w:cs="Arial"/>
                <w:color w:val="000000"/>
                <w:sz w:val="18"/>
                <w:szCs w:val="18"/>
              </w:rPr>
              <w:t>Sonora</w:t>
            </w:r>
          </w:p>
        </w:tc>
        <w:tc>
          <w:tcPr>
            <w:tcW w:w="1743" w:type="dxa"/>
            <w:shd w:val="clear" w:color="auto" w:fill="auto"/>
            <w:vAlign w:val="center"/>
            <w:hideMark/>
          </w:tcPr>
          <w:p w:rsidR="0058113E" w:rsidRPr="009D654F" w:rsidRDefault="0058113E" w:rsidP="0058113E">
            <w:pPr>
              <w:ind w:right="272"/>
              <w:jc w:val="center"/>
              <w:rPr>
                <w:rFonts w:eastAsia="Times New Roman" w:cs="Arial"/>
                <w:color w:val="000000"/>
                <w:sz w:val="18"/>
                <w:szCs w:val="18"/>
                <w:lang w:eastAsia="es-MX"/>
              </w:rPr>
            </w:pPr>
            <w:r w:rsidRPr="009D654F">
              <w:rPr>
                <w:rFonts w:eastAsia="Times New Roman" w:cs="Arial"/>
                <w:color w:val="000000"/>
                <w:sz w:val="18"/>
                <w:szCs w:val="18"/>
                <w:lang w:eastAsia="es-MX"/>
              </w:rPr>
              <w:t>Omisiones</w:t>
            </w:r>
          </w:p>
        </w:tc>
        <w:tc>
          <w:tcPr>
            <w:tcW w:w="1303" w:type="dxa"/>
            <w:shd w:val="clear" w:color="auto" w:fill="auto"/>
            <w:vAlign w:val="center"/>
          </w:tcPr>
          <w:p w:rsidR="0058113E" w:rsidRPr="009D654F" w:rsidRDefault="0058113E" w:rsidP="0058113E">
            <w:pPr>
              <w:ind w:right="272"/>
              <w:jc w:val="center"/>
              <w:rPr>
                <w:rFonts w:eastAsia="Times New Roman" w:cs="Arial"/>
                <w:color w:val="000000"/>
                <w:sz w:val="18"/>
                <w:szCs w:val="18"/>
                <w:lang w:eastAsia="es-MX"/>
              </w:rPr>
            </w:pPr>
            <w:r>
              <w:rPr>
                <w:rFonts w:eastAsia="Times New Roman" w:cs="Arial"/>
                <w:color w:val="000000"/>
                <w:sz w:val="18"/>
                <w:szCs w:val="18"/>
                <w:lang w:eastAsia="es-MX"/>
              </w:rPr>
              <w:t>24</w:t>
            </w:r>
            <w:r w:rsidRPr="0058113E">
              <w:rPr>
                <w:rFonts w:eastAsia="Times New Roman" w:cs="Arial"/>
                <w:color w:val="000000"/>
                <w:sz w:val="18"/>
                <w:szCs w:val="18"/>
                <w:lang w:eastAsia="es-MX"/>
              </w:rPr>
              <w:t>2</w:t>
            </w:r>
          </w:p>
        </w:tc>
        <w:tc>
          <w:tcPr>
            <w:tcW w:w="2522" w:type="dxa"/>
            <w:vAlign w:val="center"/>
          </w:tcPr>
          <w:p w:rsidR="0058113E" w:rsidRPr="0058113E" w:rsidRDefault="0058113E" w:rsidP="0058113E">
            <w:pPr>
              <w:jc w:val="center"/>
              <w:rPr>
                <w:rFonts w:eastAsia="Times New Roman" w:cs="Arial"/>
                <w:color w:val="000000"/>
                <w:sz w:val="18"/>
                <w:szCs w:val="18"/>
              </w:rPr>
            </w:pPr>
            <w:r w:rsidRPr="0058113E">
              <w:rPr>
                <w:rFonts w:cs="Arial"/>
                <w:color w:val="000000"/>
                <w:sz w:val="18"/>
                <w:szCs w:val="18"/>
              </w:rPr>
              <w:t>16 al 30 de junio, 1 al 15 de julio y del 1 al 31 de agosto de 2020</w:t>
            </w:r>
          </w:p>
        </w:tc>
      </w:tr>
    </w:tbl>
    <w:p w:rsidR="0058113E" w:rsidRPr="00AD6EBA" w:rsidRDefault="0058113E" w:rsidP="0058113E">
      <w:pPr>
        <w:pStyle w:val="Prrafodelista"/>
        <w:autoSpaceDE w:val="0"/>
        <w:autoSpaceDN w:val="0"/>
        <w:adjustRightInd w:val="0"/>
        <w:ind w:left="426"/>
        <w:rPr>
          <w:rFonts w:cs="Arial"/>
          <w:bCs/>
          <w:sz w:val="22"/>
        </w:rPr>
      </w:pPr>
    </w:p>
    <w:p w:rsidR="00AC2F8A" w:rsidRDefault="00AC2F8A" w:rsidP="00AC2F8A">
      <w:pPr>
        <w:autoSpaceDE w:val="0"/>
        <w:autoSpaceDN w:val="0"/>
        <w:adjustRightInd w:val="0"/>
        <w:rPr>
          <w:rFonts w:cs="Arial"/>
          <w:bCs/>
          <w:sz w:val="22"/>
        </w:rPr>
      </w:pPr>
    </w:p>
    <w:p w:rsidR="00AD6EBA" w:rsidRPr="00AC2F8A" w:rsidRDefault="00D17A84" w:rsidP="00AC2F8A">
      <w:pPr>
        <w:pStyle w:val="Prrafodelista"/>
        <w:numPr>
          <w:ilvl w:val="0"/>
          <w:numId w:val="20"/>
        </w:numPr>
        <w:autoSpaceDE w:val="0"/>
        <w:autoSpaceDN w:val="0"/>
        <w:adjustRightInd w:val="0"/>
        <w:rPr>
          <w:rFonts w:cs="Arial"/>
          <w:bCs/>
          <w:sz w:val="22"/>
        </w:rPr>
      </w:pPr>
      <w:r w:rsidRPr="00AC2F8A">
        <w:rPr>
          <w:rFonts w:cs="Arial"/>
          <w:bCs/>
          <w:sz w:val="22"/>
        </w:rPr>
        <w:t xml:space="preserve">Derivado de las actividades de verificación y monitoreo que realiza esta Dirección Ejecutiva, señaladas en el artículo 57 del Reglamento de radio y televisión en materia de radio y televisión, se detectaron presuntos incumplimientos por parte de </w:t>
      </w:r>
      <w:r w:rsidR="00394A0C" w:rsidRPr="00AC2F8A">
        <w:rPr>
          <w:rFonts w:cs="Arial"/>
          <w:bCs/>
          <w:sz w:val="22"/>
        </w:rPr>
        <w:t xml:space="preserve">Fundación Maya Cancún, A.C., </w:t>
      </w:r>
      <w:r w:rsidR="00394A0C" w:rsidRPr="00AC2F8A">
        <w:rPr>
          <w:rFonts w:cs="Arial"/>
          <w:sz w:val="22"/>
        </w:rPr>
        <w:t>concesionario de la emisora XHROJ-FM, en el estado de Veracruz</w:t>
      </w:r>
      <w:r w:rsidRPr="00AC2F8A">
        <w:rPr>
          <w:rFonts w:cs="Arial"/>
          <w:sz w:val="22"/>
        </w:rPr>
        <w:t>, tal y como se muestra a continuación:</w:t>
      </w:r>
    </w:p>
    <w:p w:rsidR="00AD6EBA" w:rsidRPr="00AD6EBA" w:rsidRDefault="00AD6EBA" w:rsidP="0058113E">
      <w:pPr>
        <w:pStyle w:val="Prrafodelista"/>
        <w:ind w:left="426"/>
        <w:rPr>
          <w:rFonts w:cs="Arial"/>
          <w:bCs/>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55"/>
        <w:gridCol w:w="1270"/>
        <w:gridCol w:w="1743"/>
        <w:gridCol w:w="1303"/>
        <w:gridCol w:w="2522"/>
      </w:tblGrid>
      <w:tr w:rsidR="00D17A84" w:rsidRPr="00D17A84" w:rsidTr="0052205F">
        <w:trPr>
          <w:trHeight w:val="1080"/>
          <w:jc w:val="center"/>
        </w:trPr>
        <w:tc>
          <w:tcPr>
            <w:tcW w:w="2655" w:type="dxa"/>
            <w:shd w:val="clear" w:color="auto" w:fill="D9D9D9" w:themeFill="background1" w:themeFillShade="D9"/>
            <w:vAlign w:val="center"/>
            <w:hideMark/>
          </w:tcPr>
          <w:p w:rsidR="00D17A84" w:rsidRPr="009D654F" w:rsidRDefault="00D17A84" w:rsidP="0052205F">
            <w:pPr>
              <w:ind w:right="272"/>
              <w:jc w:val="center"/>
              <w:rPr>
                <w:rFonts w:eastAsia="Times New Roman" w:cs="Arial"/>
                <w:b/>
                <w:bCs/>
                <w:color w:val="000000"/>
                <w:sz w:val="18"/>
                <w:szCs w:val="18"/>
                <w:lang w:eastAsia="es-MX"/>
              </w:rPr>
            </w:pPr>
            <w:r w:rsidRPr="009D654F">
              <w:rPr>
                <w:rFonts w:eastAsia="Times New Roman" w:cs="Arial"/>
                <w:b/>
                <w:bCs/>
                <w:color w:val="000000"/>
                <w:sz w:val="18"/>
                <w:szCs w:val="18"/>
                <w:lang w:eastAsia="es-MX"/>
              </w:rPr>
              <w:t>Concesionario y emisora</w:t>
            </w:r>
          </w:p>
        </w:tc>
        <w:tc>
          <w:tcPr>
            <w:tcW w:w="1270" w:type="dxa"/>
            <w:shd w:val="clear" w:color="auto" w:fill="D9D9D9" w:themeFill="background1" w:themeFillShade="D9"/>
            <w:vAlign w:val="center"/>
            <w:hideMark/>
          </w:tcPr>
          <w:p w:rsidR="00D17A84" w:rsidRPr="009D654F" w:rsidRDefault="00D17A84" w:rsidP="0052205F">
            <w:pPr>
              <w:ind w:right="272"/>
              <w:jc w:val="center"/>
              <w:rPr>
                <w:rFonts w:eastAsia="Times New Roman" w:cs="Arial"/>
                <w:b/>
                <w:bCs/>
                <w:color w:val="000000"/>
                <w:sz w:val="18"/>
                <w:szCs w:val="18"/>
                <w:lang w:eastAsia="es-MX"/>
              </w:rPr>
            </w:pPr>
            <w:r w:rsidRPr="009D654F">
              <w:rPr>
                <w:rFonts w:eastAsia="Times New Roman" w:cs="Arial"/>
                <w:b/>
                <w:bCs/>
                <w:color w:val="000000"/>
                <w:sz w:val="18"/>
                <w:szCs w:val="18"/>
                <w:lang w:eastAsia="es-MX"/>
              </w:rPr>
              <w:t>Entidad</w:t>
            </w:r>
          </w:p>
        </w:tc>
        <w:tc>
          <w:tcPr>
            <w:tcW w:w="1743" w:type="dxa"/>
            <w:shd w:val="clear" w:color="auto" w:fill="D9D9D9" w:themeFill="background1" w:themeFillShade="D9"/>
            <w:vAlign w:val="center"/>
            <w:hideMark/>
          </w:tcPr>
          <w:p w:rsidR="00D17A84" w:rsidRPr="009D654F" w:rsidRDefault="00D17A84" w:rsidP="0052205F">
            <w:pPr>
              <w:ind w:right="272"/>
              <w:jc w:val="center"/>
              <w:rPr>
                <w:rFonts w:eastAsia="Times New Roman" w:cs="Arial"/>
                <w:b/>
                <w:bCs/>
                <w:color w:val="000000"/>
                <w:sz w:val="18"/>
                <w:szCs w:val="18"/>
                <w:lang w:eastAsia="es-MX"/>
              </w:rPr>
            </w:pPr>
            <w:r w:rsidRPr="009D654F">
              <w:rPr>
                <w:rFonts w:eastAsia="Times New Roman" w:cs="Arial"/>
                <w:b/>
                <w:bCs/>
                <w:color w:val="000000"/>
                <w:sz w:val="18"/>
                <w:szCs w:val="18"/>
                <w:lang w:eastAsia="es-MX"/>
              </w:rPr>
              <w:t>Tipo de incumplimiento</w:t>
            </w:r>
          </w:p>
        </w:tc>
        <w:tc>
          <w:tcPr>
            <w:tcW w:w="1303" w:type="dxa"/>
            <w:shd w:val="clear" w:color="auto" w:fill="D9D9D9" w:themeFill="background1" w:themeFillShade="D9"/>
            <w:vAlign w:val="center"/>
          </w:tcPr>
          <w:p w:rsidR="00D17A84" w:rsidRPr="009D654F" w:rsidRDefault="00D17A84" w:rsidP="0052205F">
            <w:pPr>
              <w:ind w:right="272"/>
              <w:jc w:val="center"/>
              <w:rPr>
                <w:rFonts w:eastAsia="Times New Roman" w:cs="Arial"/>
                <w:b/>
                <w:bCs/>
                <w:color w:val="000000"/>
                <w:sz w:val="18"/>
                <w:szCs w:val="18"/>
                <w:lang w:eastAsia="es-MX"/>
              </w:rPr>
            </w:pPr>
            <w:r w:rsidRPr="00D17A84">
              <w:rPr>
                <w:rFonts w:eastAsia="Times New Roman" w:cs="Arial"/>
                <w:b/>
                <w:bCs/>
                <w:color w:val="000000"/>
                <w:sz w:val="18"/>
                <w:szCs w:val="18"/>
                <w:lang w:eastAsia="es-MX"/>
              </w:rPr>
              <w:t>No. de omisiones</w:t>
            </w:r>
          </w:p>
        </w:tc>
        <w:tc>
          <w:tcPr>
            <w:tcW w:w="2522" w:type="dxa"/>
            <w:shd w:val="clear" w:color="auto" w:fill="D9D9D9" w:themeFill="background1" w:themeFillShade="D9"/>
            <w:vAlign w:val="center"/>
          </w:tcPr>
          <w:p w:rsidR="00D17A84" w:rsidRPr="00D17A84" w:rsidRDefault="00D17A84" w:rsidP="0052205F">
            <w:pPr>
              <w:ind w:right="272"/>
              <w:jc w:val="center"/>
              <w:rPr>
                <w:rFonts w:eastAsia="Times New Roman" w:cs="Arial"/>
                <w:b/>
                <w:bCs/>
                <w:color w:val="000000"/>
                <w:sz w:val="18"/>
                <w:szCs w:val="18"/>
                <w:lang w:eastAsia="es-MX"/>
              </w:rPr>
            </w:pPr>
            <w:r w:rsidRPr="009D654F">
              <w:rPr>
                <w:rFonts w:eastAsia="Times New Roman" w:cs="Arial"/>
                <w:b/>
                <w:bCs/>
                <w:color w:val="000000"/>
                <w:sz w:val="18"/>
                <w:szCs w:val="18"/>
                <w:lang w:eastAsia="es-MX"/>
              </w:rPr>
              <w:t>Periodo de incumplimiento</w:t>
            </w:r>
          </w:p>
        </w:tc>
      </w:tr>
      <w:tr w:rsidR="00D17A84" w:rsidRPr="00D17A84" w:rsidTr="0052205F">
        <w:trPr>
          <w:trHeight w:val="864"/>
          <w:jc w:val="center"/>
        </w:trPr>
        <w:tc>
          <w:tcPr>
            <w:tcW w:w="2655" w:type="dxa"/>
            <w:shd w:val="clear" w:color="auto" w:fill="auto"/>
            <w:vAlign w:val="center"/>
            <w:hideMark/>
          </w:tcPr>
          <w:p w:rsidR="00D17A84" w:rsidRPr="00D17A84" w:rsidRDefault="00D17A84" w:rsidP="00D17A84">
            <w:pPr>
              <w:jc w:val="center"/>
              <w:rPr>
                <w:rFonts w:eastAsia="Times New Roman" w:cs="Arial"/>
                <w:color w:val="000000"/>
                <w:sz w:val="18"/>
                <w:szCs w:val="18"/>
              </w:rPr>
            </w:pPr>
            <w:r w:rsidRPr="00D17A84">
              <w:rPr>
                <w:rFonts w:cs="Arial"/>
                <w:color w:val="000000"/>
                <w:sz w:val="18"/>
                <w:szCs w:val="18"/>
              </w:rPr>
              <w:t>Fundación Maya Cancún, A.C.</w:t>
            </w:r>
            <w:r w:rsidRPr="00D17A84">
              <w:rPr>
                <w:rFonts w:cs="Arial"/>
                <w:color w:val="000000"/>
                <w:sz w:val="18"/>
                <w:szCs w:val="18"/>
              </w:rPr>
              <w:br/>
              <w:t>(XHROJ-FM)</w:t>
            </w:r>
          </w:p>
        </w:tc>
        <w:tc>
          <w:tcPr>
            <w:tcW w:w="1270" w:type="dxa"/>
            <w:shd w:val="clear" w:color="auto" w:fill="auto"/>
            <w:vAlign w:val="center"/>
            <w:hideMark/>
          </w:tcPr>
          <w:p w:rsidR="00D17A84" w:rsidRPr="00D17A84" w:rsidRDefault="00D17A84" w:rsidP="00D17A84">
            <w:pPr>
              <w:jc w:val="center"/>
              <w:rPr>
                <w:rFonts w:cs="Arial"/>
                <w:color w:val="000000"/>
                <w:sz w:val="18"/>
                <w:szCs w:val="18"/>
              </w:rPr>
            </w:pPr>
            <w:r w:rsidRPr="00D17A84">
              <w:rPr>
                <w:rFonts w:cs="Arial"/>
                <w:color w:val="000000"/>
                <w:sz w:val="18"/>
                <w:szCs w:val="18"/>
              </w:rPr>
              <w:t>Quintana Roo</w:t>
            </w:r>
          </w:p>
        </w:tc>
        <w:tc>
          <w:tcPr>
            <w:tcW w:w="1743" w:type="dxa"/>
            <w:shd w:val="clear" w:color="auto" w:fill="auto"/>
            <w:vAlign w:val="center"/>
            <w:hideMark/>
          </w:tcPr>
          <w:p w:rsidR="00D17A84" w:rsidRPr="009D654F" w:rsidRDefault="00D17A84" w:rsidP="00D17A84">
            <w:pPr>
              <w:ind w:right="272"/>
              <w:jc w:val="center"/>
              <w:rPr>
                <w:rFonts w:eastAsia="Times New Roman" w:cs="Arial"/>
                <w:color w:val="000000"/>
                <w:sz w:val="18"/>
                <w:szCs w:val="18"/>
                <w:lang w:eastAsia="es-MX"/>
              </w:rPr>
            </w:pPr>
            <w:r w:rsidRPr="009D654F">
              <w:rPr>
                <w:rFonts w:eastAsia="Times New Roman" w:cs="Arial"/>
                <w:color w:val="000000"/>
                <w:sz w:val="18"/>
                <w:szCs w:val="18"/>
                <w:lang w:eastAsia="es-MX"/>
              </w:rPr>
              <w:t>Omisiones</w:t>
            </w:r>
          </w:p>
        </w:tc>
        <w:tc>
          <w:tcPr>
            <w:tcW w:w="1303" w:type="dxa"/>
            <w:shd w:val="clear" w:color="auto" w:fill="auto"/>
            <w:vAlign w:val="center"/>
          </w:tcPr>
          <w:p w:rsidR="00D17A84" w:rsidRPr="009D654F" w:rsidRDefault="00D17A84" w:rsidP="00D17A84">
            <w:pPr>
              <w:ind w:right="272"/>
              <w:jc w:val="center"/>
              <w:rPr>
                <w:rFonts w:eastAsia="Times New Roman" w:cs="Arial"/>
                <w:color w:val="000000"/>
                <w:sz w:val="18"/>
                <w:szCs w:val="18"/>
                <w:lang w:eastAsia="es-MX"/>
              </w:rPr>
            </w:pPr>
            <w:r w:rsidRPr="00D17A84">
              <w:rPr>
                <w:rFonts w:eastAsia="Times New Roman" w:cs="Arial"/>
                <w:color w:val="000000"/>
                <w:sz w:val="18"/>
                <w:szCs w:val="18"/>
                <w:lang w:eastAsia="es-MX"/>
              </w:rPr>
              <w:t>346</w:t>
            </w:r>
          </w:p>
        </w:tc>
        <w:tc>
          <w:tcPr>
            <w:tcW w:w="2522" w:type="dxa"/>
            <w:vAlign w:val="center"/>
          </w:tcPr>
          <w:p w:rsidR="00D17A84" w:rsidRPr="00D17A84" w:rsidRDefault="00D17A84" w:rsidP="00D17A84">
            <w:pPr>
              <w:jc w:val="center"/>
              <w:rPr>
                <w:rFonts w:eastAsia="Times New Roman" w:cs="Arial"/>
                <w:color w:val="000000"/>
                <w:sz w:val="18"/>
                <w:szCs w:val="18"/>
              </w:rPr>
            </w:pPr>
            <w:r w:rsidRPr="00D17A84">
              <w:rPr>
                <w:rFonts w:cs="Arial"/>
                <w:color w:val="000000"/>
                <w:sz w:val="18"/>
                <w:szCs w:val="18"/>
              </w:rPr>
              <w:t>1 al 15 de diciembre de 2019, del 16 al 29 de febrero,</w:t>
            </w:r>
            <w:r w:rsidR="000A555B">
              <w:rPr>
                <w:rFonts w:cs="Arial"/>
                <w:color w:val="000000"/>
                <w:sz w:val="18"/>
                <w:szCs w:val="18"/>
              </w:rPr>
              <w:t xml:space="preserve"> </w:t>
            </w:r>
            <w:r w:rsidRPr="00D17A84">
              <w:rPr>
                <w:rFonts w:cs="Arial"/>
                <w:color w:val="000000"/>
                <w:sz w:val="18"/>
                <w:szCs w:val="18"/>
              </w:rPr>
              <w:t>1 al 15 de marzo,</w:t>
            </w:r>
            <w:r w:rsidR="000A555B">
              <w:rPr>
                <w:rFonts w:cs="Arial"/>
                <w:color w:val="000000"/>
                <w:sz w:val="18"/>
                <w:szCs w:val="18"/>
              </w:rPr>
              <w:t xml:space="preserve"> </w:t>
            </w:r>
            <w:r w:rsidRPr="00D17A84">
              <w:rPr>
                <w:rFonts w:cs="Arial"/>
                <w:color w:val="000000"/>
                <w:sz w:val="18"/>
                <w:szCs w:val="18"/>
              </w:rPr>
              <w:t>16 al 31 de mayo y del 1 al 30 de junio del 2020</w:t>
            </w:r>
          </w:p>
        </w:tc>
      </w:tr>
    </w:tbl>
    <w:p w:rsidR="00AD6EBA" w:rsidRDefault="00AD6EBA" w:rsidP="0058113E">
      <w:pPr>
        <w:ind w:left="426"/>
        <w:rPr>
          <w:rFonts w:cs="Arial"/>
          <w:bCs/>
          <w:sz w:val="22"/>
        </w:rPr>
      </w:pPr>
    </w:p>
    <w:p w:rsidR="00ED1802" w:rsidRPr="00AD6EBA" w:rsidRDefault="00ED1802" w:rsidP="0058113E">
      <w:pPr>
        <w:ind w:left="426"/>
        <w:rPr>
          <w:rFonts w:cs="Arial"/>
          <w:bCs/>
          <w:sz w:val="22"/>
        </w:rPr>
      </w:pPr>
    </w:p>
    <w:p w:rsidR="00394A0C" w:rsidRPr="00D17A84" w:rsidRDefault="00D17A84" w:rsidP="00E60A6D">
      <w:pPr>
        <w:pStyle w:val="Prrafodelista"/>
        <w:numPr>
          <w:ilvl w:val="0"/>
          <w:numId w:val="20"/>
        </w:numPr>
        <w:autoSpaceDE w:val="0"/>
        <w:autoSpaceDN w:val="0"/>
        <w:adjustRightInd w:val="0"/>
        <w:ind w:left="426" w:hanging="294"/>
        <w:rPr>
          <w:rFonts w:cs="Arial"/>
          <w:bCs/>
          <w:sz w:val="22"/>
        </w:rPr>
      </w:pPr>
      <w:r w:rsidRPr="009D654F">
        <w:rPr>
          <w:rFonts w:cs="Arial"/>
          <w:bCs/>
          <w:sz w:val="22"/>
        </w:rPr>
        <w:t>Derivado de las actividades de verificación y monitoreo que realiza esta Dirección Ejecutiva, señaladas en el artículo 57 del Reglamento</w:t>
      </w:r>
      <w:r>
        <w:rPr>
          <w:rFonts w:cs="Arial"/>
          <w:bCs/>
          <w:sz w:val="22"/>
        </w:rPr>
        <w:t xml:space="preserve"> de radio y televisión en materia de radio y televisión</w:t>
      </w:r>
      <w:r w:rsidRPr="009D654F">
        <w:rPr>
          <w:rFonts w:cs="Arial"/>
          <w:bCs/>
          <w:sz w:val="22"/>
        </w:rPr>
        <w:t>, se detectaron presuntos incumplimientos</w:t>
      </w:r>
      <w:r>
        <w:rPr>
          <w:rFonts w:cs="Arial"/>
          <w:bCs/>
          <w:sz w:val="22"/>
        </w:rPr>
        <w:t xml:space="preserve"> </w:t>
      </w:r>
      <w:r w:rsidRPr="00AD6EBA">
        <w:rPr>
          <w:rFonts w:cs="Arial"/>
          <w:bCs/>
          <w:sz w:val="22"/>
        </w:rPr>
        <w:t xml:space="preserve">por parte de </w:t>
      </w:r>
      <w:r w:rsidR="00394A0C" w:rsidRPr="00AD6EBA">
        <w:rPr>
          <w:rFonts w:cs="Arial"/>
          <w:bCs/>
          <w:sz w:val="22"/>
        </w:rPr>
        <w:t xml:space="preserve">Gustavo Alonso Cortez Montiel, </w:t>
      </w:r>
      <w:r w:rsidR="00394A0C" w:rsidRPr="00AD6EBA">
        <w:rPr>
          <w:rFonts w:cs="Arial"/>
          <w:sz w:val="22"/>
        </w:rPr>
        <w:t>concesionario de las emisoras XEBK-AM y XHBK-FM, en el estado de Tamaulipas</w:t>
      </w:r>
      <w:r>
        <w:rPr>
          <w:rFonts w:cs="Arial"/>
          <w:sz w:val="22"/>
        </w:rPr>
        <w:t>, tal y como se muestra a continuación:</w:t>
      </w:r>
    </w:p>
    <w:p w:rsidR="00D17A84" w:rsidRDefault="00D17A84" w:rsidP="00D17A84">
      <w:pPr>
        <w:autoSpaceDE w:val="0"/>
        <w:autoSpaceDN w:val="0"/>
        <w:adjustRightInd w:val="0"/>
        <w:rPr>
          <w:rFonts w:cs="Arial"/>
          <w:bCs/>
          <w:sz w:val="22"/>
        </w:rPr>
      </w:pPr>
    </w:p>
    <w:p w:rsidR="00D17A84" w:rsidRPr="00D17A84" w:rsidRDefault="00D17A84" w:rsidP="00D17A84">
      <w:pPr>
        <w:autoSpaceDE w:val="0"/>
        <w:autoSpaceDN w:val="0"/>
        <w:adjustRightInd w:val="0"/>
        <w:rPr>
          <w:rFonts w:cs="Arial"/>
          <w:bCs/>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3"/>
        <w:gridCol w:w="1216"/>
        <w:gridCol w:w="1743"/>
        <w:gridCol w:w="1843"/>
        <w:gridCol w:w="2308"/>
      </w:tblGrid>
      <w:tr w:rsidR="00D17A84" w:rsidRPr="000A555B" w:rsidTr="00ED1802">
        <w:trPr>
          <w:trHeight w:val="1080"/>
          <w:tblHeader/>
          <w:jc w:val="center"/>
        </w:trPr>
        <w:tc>
          <w:tcPr>
            <w:tcW w:w="2383" w:type="dxa"/>
            <w:shd w:val="clear" w:color="auto" w:fill="D9D9D9" w:themeFill="background1" w:themeFillShade="D9"/>
            <w:vAlign w:val="center"/>
            <w:hideMark/>
          </w:tcPr>
          <w:p w:rsidR="00D17A84" w:rsidRPr="009D654F" w:rsidRDefault="00D17A84" w:rsidP="0052205F">
            <w:pPr>
              <w:ind w:right="272"/>
              <w:jc w:val="center"/>
              <w:rPr>
                <w:rFonts w:eastAsia="Times New Roman" w:cs="Arial"/>
                <w:b/>
                <w:bCs/>
                <w:color w:val="000000"/>
                <w:sz w:val="18"/>
                <w:szCs w:val="18"/>
                <w:lang w:eastAsia="es-MX"/>
              </w:rPr>
            </w:pPr>
            <w:r w:rsidRPr="009D654F">
              <w:rPr>
                <w:rFonts w:eastAsia="Times New Roman" w:cs="Arial"/>
                <w:b/>
                <w:bCs/>
                <w:color w:val="000000"/>
                <w:sz w:val="18"/>
                <w:szCs w:val="18"/>
                <w:lang w:eastAsia="es-MX"/>
              </w:rPr>
              <w:t>Concesionario y emisora</w:t>
            </w:r>
          </w:p>
        </w:tc>
        <w:tc>
          <w:tcPr>
            <w:tcW w:w="1216" w:type="dxa"/>
            <w:shd w:val="clear" w:color="auto" w:fill="D9D9D9" w:themeFill="background1" w:themeFillShade="D9"/>
            <w:vAlign w:val="center"/>
            <w:hideMark/>
          </w:tcPr>
          <w:p w:rsidR="00D17A84" w:rsidRPr="009D654F" w:rsidRDefault="00D17A84" w:rsidP="0052205F">
            <w:pPr>
              <w:ind w:right="272"/>
              <w:jc w:val="center"/>
              <w:rPr>
                <w:rFonts w:eastAsia="Times New Roman" w:cs="Arial"/>
                <w:b/>
                <w:bCs/>
                <w:color w:val="000000"/>
                <w:sz w:val="18"/>
                <w:szCs w:val="18"/>
                <w:lang w:eastAsia="es-MX"/>
              </w:rPr>
            </w:pPr>
            <w:r w:rsidRPr="009D654F">
              <w:rPr>
                <w:rFonts w:eastAsia="Times New Roman" w:cs="Arial"/>
                <w:b/>
                <w:bCs/>
                <w:color w:val="000000"/>
                <w:sz w:val="18"/>
                <w:szCs w:val="18"/>
                <w:lang w:eastAsia="es-MX"/>
              </w:rPr>
              <w:t>Entidad</w:t>
            </w:r>
          </w:p>
        </w:tc>
        <w:tc>
          <w:tcPr>
            <w:tcW w:w="1743" w:type="dxa"/>
            <w:shd w:val="clear" w:color="auto" w:fill="D9D9D9" w:themeFill="background1" w:themeFillShade="D9"/>
            <w:vAlign w:val="center"/>
            <w:hideMark/>
          </w:tcPr>
          <w:p w:rsidR="00D17A84" w:rsidRPr="009D654F" w:rsidRDefault="00D17A84" w:rsidP="0052205F">
            <w:pPr>
              <w:ind w:right="272"/>
              <w:jc w:val="center"/>
              <w:rPr>
                <w:rFonts w:eastAsia="Times New Roman" w:cs="Arial"/>
                <w:b/>
                <w:bCs/>
                <w:color w:val="000000"/>
                <w:sz w:val="18"/>
                <w:szCs w:val="18"/>
                <w:lang w:eastAsia="es-MX"/>
              </w:rPr>
            </w:pPr>
            <w:r w:rsidRPr="009D654F">
              <w:rPr>
                <w:rFonts w:eastAsia="Times New Roman" w:cs="Arial"/>
                <w:b/>
                <w:bCs/>
                <w:color w:val="000000"/>
                <w:sz w:val="18"/>
                <w:szCs w:val="18"/>
                <w:lang w:eastAsia="es-MX"/>
              </w:rPr>
              <w:t>Tipo de incumplimiento</w:t>
            </w:r>
          </w:p>
        </w:tc>
        <w:tc>
          <w:tcPr>
            <w:tcW w:w="1843" w:type="dxa"/>
            <w:shd w:val="clear" w:color="auto" w:fill="D9D9D9" w:themeFill="background1" w:themeFillShade="D9"/>
            <w:vAlign w:val="center"/>
          </w:tcPr>
          <w:p w:rsidR="00D17A84" w:rsidRPr="009D654F" w:rsidRDefault="00D17A84" w:rsidP="0052205F">
            <w:pPr>
              <w:ind w:right="272"/>
              <w:jc w:val="center"/>
              <w:rPr>
                <w:rFonts w:eastAsia="Times New Roman" w:cs="Arial"/>
                <w:b/>
                <w:bCs/>
                <w:color w:val="000000"/>
                <w:sz w:val="18"/>
                <w:szCs w:val="18"/>
                <w:lang w:eastAsia="es-MX"/>
              </w:rPr>
            </w:pPr>
            <w:r w:rsidRPr="000A555B">
              <w:rPr>
                <w:rFonts w:eastAsia="Times New Roman" w:cs="Arial"/>
                <w:b/>
                <w:bCs/>
                <w:color w:val="000000"/>
                <w:sz w:val="18"/>
                <w:szCs w:val="18"/>
                <w:lang w:eastAsia="es-MX"/>
              </w:rPr>
              <w:t xml:space="preserve">No. de </w:t>
            </w:r>
            <w:r w:rsidR="00726B74">
              <w:rPr>
                <w:rFonts w:eastAsia="Times New Roman" w:cs="Arial"/>
                <w:b/>
                <w:bCs/>
                <w:color w:val="000000"/>
                <w:sz w:val="18"/>
                <w:szCs w:val="18"/>
                <w:lang w:eastAsia="es-MX"/>
              </w:rPr>
              <w:t>incumplimiento</w:t>
            </w:r>
            <w:r w:rsidRPr="000A555B">
              <w:rPr>
                <w:rFonts w:eastAsia="Times New Roman" w:cs="Arial"/>
                <w:b/>
                <w:bCs/>
                <w:color w:val="000000"/>
                <w:sz w:val="18"/>
                <w:szCs w:val="18"/>
                <w:lang w:eastAsia="es-MX"/>
              </w:rPr>
              <w:t>s</w:t>
            </w:r>
          </w:p>
        </w:tc>
        <w:tc>
          <w:tcPr>
            <w:tcW w:w="2308" w:type="dxa"/>
            <w:shd w:val="clear" w:color="auto" w:fill="D9D9D9" w:themeFill="background1" w:themeFillShade="D9"/>
            <w:vAlign w:val="center"/>
          </w:tcPr>
          <w:p w:rsidR="00D17A84" w:rsidRPr="000A555B" w:rsidRDefault="00D17A84" w:rsidP="0052205F">
            <w:pPr>
              <w:ind w:right="272"/>
              <w:jc w:val="center"/>
              <w:rPr>
                <w:rFonts w:eastAsia="Times New Roman" w:cs="Arial"/>
                <w:b/>
                <w:bCs/>
                <w:color w:val="000000"/>
                <w:sz w:val="18"/>
                <w:szCs w:val="18"/>
                <w:lang w:eastAsia="es-MX"/>
              </w:rPr>
            </w:pPr>
            <w:r w:rsidRPr="009D654F">
              <w:rPr>
                <w:rFonts w:eastAsia="Times New Roman" w:cs="Arial"/>
                <w:b/>
                <w:bCs/>
                <w:color w:val="000000"/>
                <w:sz w:val="18"/>
                <w:szCs w:val="18"/>
                <w:lang w:eastAsia="es-MX"/>
              </w:rPr>
              <w:t>Periodo de incumplimiento</w:t>
            </w:r>
          </w:p>
        </w:tc>
      </w:tr>
      <w:tr w:rsidR="00726B74" w:rsidRPr="000A555B" w:rsidTr="00ED1802">
        <w:trPr>
          <w:trHeight w:val="864"/>
          <w:jc w:val="center"/>
        </w:trPr>
        <w:tc>
          <w:tcPr>
            <w:tcW w:w="2383" w:type="dxa"/>
            <w:shd w:val="clear" w:color="auto" w:fill="auto"/>
            <w:vAlign w:val="center"/>
            <w:hideMark/>
          </w:tcPr>
          <w:p w:rsidR="00726B74" w:rsidRPr="000A555B" w:rsidRDefault="00726B74" w:rsidP="000A555B">
            <w:pPr>
              <w:jc w:val="center"/>
              <w:rPr>
                <w:rFonts w:eastAsia="Times New Roman" w:cs="Arial"/>
                <w:color w:val="000000"/>
                <w:sz w:val="18"/>
                <w:szCs w:val="18"/>
              </w:rPr>
            </w:pPr>
            <w:r w:rsidRPr="000A555B">
              <w:rPr>
                <w:rFonts w:cs="Arial"/>
                <w:color w:val="000000"/>
                <w:sz w:val="18"/>
                <w:szCs w:val="18"/>
              </w:rPr>
              <w:t>Gustavo Alonso Cortez Montiel</w:t>
            </w:r>
            <w:r w:rsidRPr="000A555B">
              <w:rPr>
                <w:rFonts w:cs="Arial"/>
                <w:color w:val="000000"/>
                <w:sz w:val="18"/>
                <w:szCs w:val="18"/>
              </w:rPr>
              <w:br/>
              <w:t>(XEBK-AM y XHBK-FM)</w:t>
            </w:r>
          </w:p>
        </w:tc>
        <w:tc>
          <w:tcPr>
            <w:tcW w:w="1216" w:type="dxa"/>
            <w:shd w:val="clear" w:color="auto" w:fill="auto"/>
            <w:vAlign w:val="center"/>
            <w:hideMark/>
          </w:tcPr>
          <w:p w:rsidR="00726B74" w:rsidRPr="000A555B" w:rsidRDefault="00726B74" w:rsidP="000A555B">
            <w:pPr>
              <w:jc w:val="center"/>
              <w:rPr>
                <w:rFonts w:cs="Arial"/>
                <w:color w:val="000000"/>
                <w:sz w:val="18"/>
                <w:szCs w:val="18"/>
              </w:rPr>
            </w:pPr>
            <w:r w:rsidRPr="000A555B">
              <w:rPr>
                <w:rFonts w:cs="Arial"/>
                <w:color w:val="000000"/>
                <w:sz w:val="18"/>
                <w:szCs w:val="18"/>
              </w:rPr>
              <w:t>Tamaulipas</w:t>
            </w:r>
          </w:p>
        </w:tc>
        <w:tc>
          <w:tcPr>
            <w:tcW w:w="1743" w:type="dxa"/>
            <w:shd w:val="clear" w:color="auto" w:fill="auto"/>
            <w:vAlign w:val="center"/>
            <w:hideMark/>
          </w:tcPr>
          <w:p w:rsidR="00726B74" w:rsidRPr="009D654F" w:rsidRDefault="00726B74" w:rsidP="000A555B">
            <w:pPr>
              <w:ind w:right="272"/>
              <w:jc w:val="center"/>
              <w:rPr>
                <w:rFonts w:eastAsia="Times New Roman" w:cs="Arial"/>
                <w:color w:val="000000"/>
                <w:sz w:val="18"/>
                <w:szCs w:val="18"/>
                <w:lang w:eastAsia="es-MX"/>
              </w:rPr>
            </w:pPr>
            <w:r w:rsidRPr="009D654F">
              <w:rPr>
                <w:rFonts w:eastAsia="Times New Roman" w:cs="Arial"/>
                <w:color w:val="000000"/>
                <w:sz w:val="18"/>
                <w:szCs w:val="18"/>
                <w:lang w:eastAsia="es-MX"/>
              </w:rPr>
              <w:t>Omisiones</w:t>
            </w:r>
          </w:p>
        </w:tc>
        <w:tc>
          <w:tcPr>
            <w:tcW w:w="1843" w:type="dxa"/>
            <w:shd w:val="clear" w:color="auto" w:fill="auto"/>
            <w:vAlign w:val="center"/>
          </w:tcPr>
          <w:p w:rsidR="00726B74" w:rsidRPr="009D654F" w:rsidRDefault="00726B74" w:rsidP="000A555B">
            <w:pPr>
              <w:ind w:right="272"/>
              <w:jc w:val="center"/>
              <w:rPr>
                <w:rFonts w:eastAsia="Times New Roman" w:cs="Arial"/>
                <w:color w:val="000000"/>
                <w:sz w:val="18"/>
                <w:szCs w:val="18"/>
                <w:lang w:eastAsia="es-MX"/>
              </w:rPr>
            </w:pPr>
            <w:r>
              <w:rPr>
                <w:rFonts w:eastAsia="Times New Roman" w:cs="Arial"/>
                <w:color w:val="000000"/>
                <w:sz w:val="18"/>
                <w:szCs w:val="18"/>
                <w:lang w:eastAsia="es-MX"/>
              </w:rPr>
              <w:t>1009</w:t>
            </w:r>
          </w:p>
        </w:tc>
        <w:tc>
          <w:tcPr>
            <w:tcW w:w="2308" w:type="dxa"/>
            <w:vAlign w:val="center"/>
          </w:tcPr>
          <w:p w:rsidR="00726B74" w:rsidRPr="000A555B" w:rsidRDefault="00726B74" w:rsidP="000A555B">
            <w:pPr>
              <w:jc w:val="center"/>
              <w:rPr>
                <w:rFonts w:eastAsia="Times New Roman" w:cs="Arial"/>
                <w:color w:val="000000"/>
                <w:sz w:val="18"/>
                <w:szCs w:val="18"/>
              </w:rPr>
            </w:pPr>
            <w:r w:rsidRPr="000A555B">
              <w:rPr>
                <w:rFonts w:cs="Arial"/>
                <w:color w:val="000000"/>
                <w:sz w:val="18"/>
                <w:szCs w:val="18"/>
              </w:rPr>
              <w:t>16 al 31 de marzo, 1 al 31 de mayo, 1 al 30 de junio, 1 al 31 de julio y del 1 al 31 de agosto de 2020</w:t>
            </w:r>
          </w:p>
        </w:tc>
      </w:tr>
    </w:tbl>
    <w:p w:rsidR="00394A0C" w:rsidRDefault="00394A0C" w:rsidP="009255FC">
      <w:pPr>
        <w:autoSpaceDE w:val="0"/>
        <w:autoSpaceDN w:val="0"/>
        <w:adjustRightInd w:val="0"/>
        <w:rPr>
          <w:rFonts w:cs="Arial"/>
          <w:bCs/>
          <w:sz w:val="22"/>
        </w:rPr>
      </w:pPr>
    </w:p>
    <w:p w:rsidR="00AC2F8A" w:rsidRDefault="00AC2F8A" w:rsidP="009255FC">
      <w:pPr>
        <w:autoSpaceDE w:val="0"/>
        <w:autoSpaceDN w:val="0"/>
        <w:adjustRightInd w:val="0"/>
        <w:rPr>
          <w:rFonts w:cs="Arial"/>
          <w:bCs/>
          <w:sz w:val="22"/>
        </w:rPr>
      </w:pPr>
    </w:p>
    <w:p w:rsidR="00AC2F8A" w:rsidRDefault="00AC2F8A" w:rsidP="009255FC">
      <w:pPr>
        <w:autoSpaceDE w:val="0"/>
        <w:autoSpaceDN w:val="0"/>
        <w:adjustRightInd w:val="0"/>
        <w:rPr>
          <w:rFonts w:cs="Arial"/>
          <w:bCs/>
          <w:sz w:val="22"/>
        </w:rPr>
      </w:pPr>
    </w:p>
    <w:p w:rsidR="00AC2F8A" w:rsidRDefault="00AC2F8A" w:rsidP="009255FC">
      <w:pPr>
        <w:autoSpaceDE w:val="0"/>
        <w:autoSpaceDN w:val="0"/>
        <w:adjustRightInd w:val="0"/>
        <w:rPr>
          <w:rFonts w:cs="Arial"/>
          <w:bCs/>
          <w:sz w:val="22"/>
        </w:rPr>
      </w:pPr>
    </w:p>
    <w:p w:rsidR="00AC2F8A" w:rsidRPr="00AC2F8A" w:rsidRDefault="00AC2F8A" w:rsidP="00AC2F8A">
      <w:pPr>
        <w:pStyle w:val="Prrafodelista"/>
        <w:numPr>
          <w:ilvl w:val="0"/>
          <w:numId w:val="20"/>
        </w:numPr>
        <w:autoSpaceDE w:val="0"/>
        <w:autoSpaceDN w:val="0"/>
        <w:adjustRightInd w:val="0"/>
        <w:rPr>
          <w:rFonts w:cs="Arial"/>
          <w:bCs/>
          <w:sz w:val="22"/>
        </w:rPr>
      </w:pPr>
      <w:r w:rsidRPr="00AC2F8A">
        <w:rPr>
          <w:rFonts w:cs="Arial"/>
          <w:bCs/>
          <w:sz w:val="22"/>
        </w:rPr>
        <w:lastRenderedPageBreak/>
        <w:t xml:space="preserve">Derivado de las actividades de verificación y monitoreo que realiza esta Dirección Ejecutiva, señaladas en el artículo 57 del Reglamento de radio y televisión en materia de radio y televisión, se detectaron presuntos incumplimientos por parte de Gustavo Alonso Cortez Montiel, </w:t>
      </w:r>
      <w:r w:rsidRPr="00AC2F8A">
        <w:rPr>
          <w:rFonts w:cs="Arial"/>
          <w:sz w:val="22"/>
        </w:rPr>
        <w:t>concesionario de las emisoras XEBK-AM y XHBK-FM, en el estado de Tamaulipas, tal y como se muestra a continuación:</w:t>
      </w:r>
    </w:p>
    <w:p w:rsidR="00AC2F8A" w:rsidRDefault="00AC2F8A" w:rsidP="00AC2F8A">
      <w:pPr>
        <w:autoSpaceDE w:val="0"/>
        <w:autoSpaceDN w:val="0"/>
        <w:adjustRightInd w:val="0"/>
        <w:rPr>
          <w:rFonts w:cs="Arial"/>
          <w:bCs/>
          <w:sz w:val="22"/>
        </w:rPr>
      </w:pPr>
    </w:p>
    <w:p w:rsidR="00AC2F8A" w:rsidRPr="00D17A84" w:rsidRDefault="00AC2F8A" w:rsidP="00AC2F8A">
      <w:pPr>
        <w:autoSpaceDE w:val="0"/>
        <w:autoSpaceDN w:val="0"/>
        <w:adjustRightInd w:val="0"/>
        <w:rPr>
          <w:rFonts w:cs="Arial"/>
          <w:bCs/>
          <w:sz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3"/>
        <w:gridCol w:w="1216"/>
        <w:gridCol w:w="1743"/>
        <w:gridCol w:w="1457"/>
        <w:gridCol w:w="2410"/>
      </w:tblGrid>
      <w:tr w:rsidR="00AC2F8A" w:rsidRPr="000A555B" w:rsidTr="00AC2F8A">
        <w:trPr>
          <w:trHeight w:val="1080"/>
          <w:tblHeader/>
          <w:jc w:val="center"/>
        </w:trPr>
        <w:tc>
          <w:tcPr>
            <w:tcW w:w="2383" w:type="dxa"/>
            <w:shd w:val="clear" w:color="auto" w:fill="D9D9D9" w:themeFill="background1" w:themeFillShade="D9"/>
            <w:vAlign w:val="center"/>
            <w:hideMark/>
          </w:tcPr>
          <w:p w:rsidR="00AC2F8A" w:rsidRPr="009D654F" w:rsidRDefault="00AC2F8A" w:rsidP="00461D85">
            <w:pPr>
              <w:ind w:right="272"/>
              <w:jc w:val="center"/>
              <w:rPr>
                <w:rFonts w:eastAsia="Times New Roman" w:cs="Arial"/>
                <w:b/>
                <w:bCs/>
                <w:color w:val="000000"/>
                <w:sz w:val="18"/>
                <w:szCs w:val="18"/>
                <w:lang w:eastAsia="es-MX"/>
              </w:rPr>
            </w:pPr>
            <w:r w:rsidRPr="009D654F">
              <w:rPr>
                <w:rFonts w:eastAsia="Times New Roman" w:cs="Arial"/>
                <w:b/>
                <w:bCs/>
                <w:color w:val="000000"/>
                <w:sz w:val="18"/>
                <w:szCs w:val="18"/>
                <w:lang w:eastAsia="es-MX"/>
              </w:rPr>
              <w:t>Concesionario y emisora</w:t>
            </w:r>
          </w:p>
        </w:tc>
        <w:tc>
          <w:tcPr>
            <w:tcW w:w="1216" w:type="dxa"/>
            <w:shd w:val="clear" w:color="auto" w:fill="D9D9D9" w:themeFill="background1" w:themeFillShade="D9"/>
            <w:vAlign w:val="center"/>
            <w:hideMark/>
          </w:tcPr>
          <w:p w:rsidR="00AC2F8A" w:rsidRPr="009D654F" w:rsidRDefault="00AC2F8A" w:rsidP="00461D85">
            <w:pPr>
              <w:ind w:right="272"/>
              <w:jc w:val="center"/>
              <w:rPr>
                <w:rFonts w:eastAsia="Times New Roman" w:cs="Arial"/>
                <w:b/>
                <w:bCs/>
                <w:color w:val="000000"/>
                <w:sz w:val="18"/>
                <w:szCs w:val="18"/>
                <w:lang w:eastAsia="es-MX"/>
              </w:rPr>
            </w:pPr>
            <w:r w:rsidRPr="009D654F">
              <w:rPr>
                <w:rFonts w:eastAsia="Times New Roman" w:cs="Arial"/>
                <w:b/>
                <w:bCs/>
                <w:color w:val="000000"/>
                <w:sz w:val="18"/>
                <w:szCs w:val="18"/>
                <w:lang w:eastAsia="es-MX"/>
              </w:rPr>
              <w:t>Entidad</w:t>
            </w:r>
          </w:p>
        </w:tc>
        <w:tc>
          <w:tcPr>
            <w:tcW w:w="1743" w:type="dxa"/>
            <w:shd w:val="clear" w:color="auto" w:fill="D9D9D9" w:themeFill="background1" w:themeFillShade="D9"/>
            <w:vAlign w:val="center"/>
            <w:hideMark/>
          </w:tcPr>
          <w:p w:rsidR="00AC2F8A" w:rsidRPr="009D654F" w:rsidRDefault="00AC2F8A" w:rsidP="00461D85">
            <w:pPr>
              <w:ind w:right="272"/>
              <w:jc w:val="center"/>
              <w:rPr>
                <w:rFonts w:eastAsia="Times New Roman" w:cs="Arial"/>
                <w:b/>
                <w:bCs/>
                <w:color w:val="000000"/>
                <w:sz w:val="18"/>
                <w:szCs w:val="18"/>
                <w:lang w:eastAsia="es-MX"/>
              </w:rPr>
            </w:pPr>
            <w:r w:rsidRPr="009D654F">
              <w:rPr>
                <w:rFonts w:eastAsia="Times New Roman" w:cs="Arial"/>
                <w:b/>
                <w:bCs/>
                <w:color w:val="000000"/>
                <w:sz w:val="18"/>
                <w:szCs w:val="18"/>
                <w:lang w:eastAsia="es-MX"/>
              </w:rPr>
              <w:t>Tipo de incumplimiento</w:t>
            </w:r>
          </w:p>
        </w:tc>
        <w:tc>
          <w:tcPr>
            <w:tcW w:w="1457" w:type="dxa"/>
            <w:shd w:val="clear" w:color="auto" w:fill="D9D9D9" w:themeFill="background1" w:themeFillShade="D9"/>
            <w:vAlign w:val="center"/>
          </w:tcPr>
          <w:p w:rsidR="00AC2F8A" w:rsidRPr="009D654F" w:rsidRDefault="00AC2F8A" w:rsidP="00461D85">
            <w:pPr>
              <w:ind w:right="272"/>
              <w:jc w:val="center"/>
              <w:rPr>
                <w:rFonts w:eastAsia="Times New Roman" w:cs="Arial"/>
                <w:b/>
                <w:bCs/>
                <w:color w:val="000000"/>
                <w:sz w:val="18"/>
                <w:szCs w:val="18"/>
                <w:lang w:eastAsia="es-MX"/>
              </w:rPr>
            </w:pPr>
            <w:r w:rsidRPr="000A555B">
              <w:rPr>
                <w:rFonts w:eastAsia="Times New Roman" w:cs="Arial"/>
                <w:b/>
                <w:bCs/>
                <w:color w:val="000000"/>
                <w:sz w:val="18"/>
                <w:szCs w:val="18"/>
                <w:lang w:eastAsia="es-MX"/>
              </w:rPr>
              <w:t xml:space="preserve">No. de </w:t>
            </w:r>
            <w:r>
              <w:rPr>
                <w:rFonts w:eastAsia="Times New Roman" w:cs="Arial"/>
                <w:b/>
                <w:bCs/>
                <w:color w:val="000000"/>
                <w:sz w:val="18"/>
                <w:szCs w:val="18"/>
                <w:lang w:eastAsia="es-MX"/>
              </w:rPr>
              <w:t>excedentes</w:t>
            </w:r>
          </w:p>
        </w:tc>
        <w:tc>
          <w:tcPr>
            <w:tcW w:w="2410" w:type="dxa"/>
            <w:shd w:val="clear" w:color="auto" w:fill="D9D9D9" w:themeFill="background1" w:themeFillShade="D9"/>
            <w:vAlign w:val="center"/>
          </w:tcPr>
          <w:p w:rsidR="00AC2F8A" w:rsidRPr="000A555B" w:rsidRDefault="00AC2F8A" w:rsidP="00461D85">
            <w:pPr>
              <w:ind w:right="272"/>
              <w:jc w:val="center"/>
              <w:rPr>
                <w:rFonts w:eastAsia="Times New Roman" w:cs="Arial"/>
                <w:b/>
                <w:bCs/>
                <w:color w:val="000000"/>
                <w:sz w:val="18"/>
                <w:szCs w:val="18"/>
                <w:lang w:eastAsia="es-MX"/>
              </w:rPr>
            </w:pPr>
            <w:r w:rsidRPr="009D654F">
              <w:rPr>
                <w:rFonts w:eastAsia="Times New Roman" w:cs="Arial"/>
                <w:b/>
                <w:bCs/>
                <w:color w:val="000000"/>
                <w:sz w:val="18"/>
                <w:szCs w:val="18"/>
                <w:lang w:eastAsia="es-MX"/>
              </w:rPr>
              <w:t>Periodo de incumplimiento</w:t>
            </w:r>
          </w:p>
        </w:tc>
      </w:tr>
      <w:tr w:rsidR="00AC2F8A" w:rsidRPr="000A555B" w:rsidTr="00AC2F8A">
        <w:trPr>
          <w:trHeight w:val="864"/>
          <w:jc w:val="center"/>
        </w:trPr>
        <w:tc>
          <w:tcPr>
            <w:tcW w:w="2383" w:type="dxa"/>
            <w:shd w:val="clear" w:color="auto" w:fill="auto"/>
            <w:vAlign w:val="center"/>
            <w:hideMark/>
          </w:tcPr>
          <w:p w:rsidR="00AC2F8A" w:rsidRPr="000A555B" w:rsidRDefault="00AC2F8A" w:rsidP="00461D85">
            <w:pPr>
              <w:jc w:val="center"/>
              <w:rPr>
                <w:rFonts w:eastAsia="Times New Roman" w:cs="Arial"/>
                <w:color w:val="000000"/>
                <w:sz w:val="18"/>
                <w:szCs w:val="18"/>
              </w:rPr>
            </w:pPr>
            <w:r w:rsidRPr="000A555B">
              <w:rPr>
                <w:rFonts w:cs="Arial"/>
                <w:color w:val="000000"/>
                <w:sz w:val="18"/>
                <w:szCs w:val="18"/>
              </w:rPr>
              <w:t>Gustavo Alonso Cortez Montiel</w:t>
            </w:r>
            <w:r w:rsidRPr="000A555B">
              <w:rPr>
                <w:rFonts w:cs="Arial"/>
                <w:color w:val="000000"/>
                <w:sz w:val="18"/>
                <w:szCs w:val="18"/>
              </w:rPr>
              <w:br/>
              <w:t>(XEBK-AM y XHBK-FM)</w:t>
            </w:r>
          </w:p>
        </w:tc>
        <w:tc>
          <w:tcPr>
            <w:tcW w:w="1216" w:type="dxa"/>
            <w:shd w:val="clear" w:color="auto" w:fill="auto"/>
            <w:vAlign w:val="center"/>
            <w:hideMark/>
          </w:tcPr>
          <w:p w:rsidR="00AC2F8A" w:rsidRPr="000A555B" w:rsidRDefault="00AC2F8A" w:rsidP="00461D85">
            <w:pPr>
              <w:jc w:val="center"/>
              <w:rPr>
                <w:rFonts w:cs="Arial"/>
                <w:color w:val="000000"/>
                <w:sz w:val="18"/>
                <w:szCs w:val="18"/>
              </w:rPr>
            </w:pPr>
            <w:r w:rsidRPr="000A555B">
              <w:rPr>
                <w:rFonts w:cs="Arial"/>
                <w:color w:val="000000"/>
                <w:sz w:val="18"/>
                <w:szCs w:val="18"/>
              </w:rPr>
              <w:t>Tamaulipas</w:t>
            </w:r>
          </w:p>
        </w:tc>
        <w:tc>
          <w:tcPr>
            <w:tcW w:w="1743" w:type="dxa"/>
            <w:shd w:val="clear" w:color="auto" w:fill="auto"/>
            <w:vAlign w:val="center"/>
            <w:hideMark/>
          </w:tcPr>
          <w:p w:rsidR="00AC2F8A" w:rsidRPr="009D654F" w:rsidRDefault="00AC2F8A" w:rsidP="00461D85">
            <w:pPr>
              <w:ind w:right="272"/>
              <w:jc w:val="center"/>
              <w:rPr>
                <w:rFonts w:eastAsia="Times New Roman" w:cs="Arial"/>
                <w:color w:val="000000"/>
                <w:sz w:val="18"/>
                <w:szCs w:val="18"/>
                <w:lang w:eastAsia="es-MX"/>
              </w:rPr>
            </w:pPr>
            <w:r>
              <w:rPr>
                <w:rFonts w:eastAsia="Times New Roman" w:cs="Arial"/>
                <w:color w:val="000000"/>
                <w:sz w:val="18"/>
                <w:szCs w:val="18"/>
                <w:lang w:eastAsia="es-MX"/>
              </w:rPr>
              <w:t>Excedentes</w:t>
            </w:r>
          </w:p>
        </w:tc>
        <w:tc>
          <w:tcPr>
            <w:tcW w:w="1457" w:type="dxa"/>
            <w:shd w:val="clear" w:color="auto" w:fill="auto"/>
            <w:vAlign w:val="center"/>
          </w:tcPr>
          <w:p w:rsidR="00AC2F8A" w:rsidRPr="009D654F" w:rsidRDefault="00AC2F8A" w:rsidP="00461D85">
            <w:pPr>
              <w:ind w:right="272"/>
              <w:jc w:val="center"/>
              <w:rPr>
                <w:rFonts w:eastAsia="Times New Roman" w:cs="Arial"/>
                <w:color w:val="000000"/>
                <w:sz w:val="18"/>
                <w:szCs w:val="18"/>
                <w:lang w:eastAsia="es-MX"/>
              </w:rPr>
            </w:pPr>
            <w:r>
              <w:rPr>
                <w:rFonts w:eastAsia="Times New Roman" w:cs="Arial"/>
                <w:color w:val="000000"/>
                <w:sz w:val="18"/>
                <w:szCs w:val="18"/>
                <w:lang w:eastAsia="es-MX"/>
              </w:rPr>
              <w:t>1</w:t>
            </w:r>
            <w:r w:rsidR="002F6F1E">
              <w:rPr>
                <w:rFonts w:eastAsia="Times New Roman" w:cs="Arial"/>
                <w:color w:val="000000"/>
                <w:sz w:val="18"/>
                <w:szCs w:val="18"/>
                <w:lang w:eastAsia="es-MX"/>
              </w:rPr>
              <w:t>68</w:t>
            </w:r>
          </w:p>
        </w:tc>
        <w:tc>
          <w:tcPr>
            <w:tcW w:w="2410" w:type="dxa"/>
            <w:vAlign w:val="center"/>
          </w:tcPr>
          <w:p w:rsidR="00AC2F8A" w:rsidRPr="000A555B" w:rsidRDefault="00AC2F8A" w:rsidP="00461D85">
            <w:pPr>
              <w:jc w:val="center"/>
              <w:rPr>
                <w:rFonts w:eastAsia="Times New Roman" w:cs="Arial"/>
                <w:color w:val="000000"/>
                <w:sz w:val="18"/>
                <w:szCs w:val="18"/>
              </w:rPr>
            </w:pPr>
            <w:r w:rsidRPr="000A555B">
              <w:rPr>
                <w:rFonts w:cs="Arial"/>
                <w:color w:val="000000"/>
                <w:sz w:val="18"/>
                <w:szCs w:val="18"/>
              </w:rPr>
              <w:t>16 al 31 de marzo, 1 al 31 de mayo, 1 al 30 de junio, 1 al 31 de julio y del 1 al 31 de agosto de 2020</w:t>
            </w:r>
          </w:p>
        </w:tc>
      </w:tr>
    </w:tbl>
    <w:p w:rsidR="00AC2F8A" w:rsidRPr="009255FC" w:rsidRDefault="00AC2F8A" w:rsidP="009255FC">
      <w:pPr>
        <w:autoSpaceDE w:val="0"/>
        <w:autoSpaceDN w:val="0"/>
        <w:adjustRightInd w:val="0"/>
        <w:rPr>
          <w:rFonts w:cs="Arial"/>
          <w:bCs/>
          <w:sz w:val="22"/>
        </w:rPr>
      </w:pPr>
    </w:p>
    <w:sectPr w:rsidR="00AC2F8A" w:rsidRPr="009255FC" w:rsidSect="00ED1802">
      <w:headerReference w:type="even" r:id="rId7"/>
      <w:headerReference w:type="default" r:id="rId8"/>
      <w:footerReference w:type="even" r:id="rId9"/>
      <w:footerReference w:type="default" r:id="rId10"/>
      <w:headerReference w:type="first" r:id="rId11"/>
      <w:footerReference w:type="first" r:id="rId12"/>
      <w:pgSz w:w="12240" w:h="15840"/>
      <w:pgMar w:top="2410" w:right="1701" w:bottom="1560"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7FC" w:rsidRDefault="00C577FC" w:rsidP="00DD7125">
      <w:r>
        <w:separator/>
      </w:r>
    </w:p>
  </w:endnote>
  <w:endnote w:type="continuationSeparator" w:id="0">
    <w:p w:rsidR="00C577FC" w:rsidRDefault="00C577FC" w:rsidP="00DD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EDE" w:rsidRDefault="008B4E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991860"/>
      <w:docPartObj>
        <w:docPartGallery w:val="Page Numbers (Bottom of Page)"/>
        <w:docPartUnique/>
      </w:docPartObj>
    </w:sdtPr>
    <w:sdtEndPr/>
    <w:sdtContent>
      <w:sdt>
        <w:sdtPr>
          <w:id w:val="860082579"/>
          <w:docPartObj>
            <w:docPartGallery w:val="Page Numbers (Top of Page)"/>
            <w:docPartUnique/>
          </w:docPartObj>
        </w:sdtPr>
        <w:sdtEndPr/>
        <w:sdtContent>
          <w:p w:rsidR="009819B4" w:rsidRDefault="004309B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5229C">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5229C">
              <w:rPr>
                <w:b/>
                <w:bCs/>
                <w:noProof/>
              </w:rPr>
              <w:t>3</w:t>
            </w:r>
            <w:r>
              <w:rPr>
                <w:b/>
                <w:bCs/>
                <w:sz w:val="24"/>
                <w:szCs w:val="24"/>
              </w:rPr>
              <w:fldChar w:fldCharType="end"/>
            </w:r>
          </w:p>
        </w:sdtContent>
      </w:sdt>
    </w:sdtContent>
  </w:sdt>
  <w:p w:rsidR="009819B4" w:rsidRDefault="00C577F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EDE" w:rsidRDefault="008B4E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7FC" w:rsidRDefault="00C577FC" w:rsidP="00DD7125">
      <w:r>
        <w:separator/>
      </w:r>
    </w:p>
  </w:footnote>
  <w:footnote w:type="continuationSeparator" w:id="0">
    <w:p w:rsidR="00C577FC" w:rsidRDefault="00C577FC" w:rsidP="00DD7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EDE" w:rsidRDefault="008B4ED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34" w:type="dxa"/>
      <w:tblBorders>
        <w:bottom w:val="single" w:sz="12" w:space="0" w:color="943634"/>
      </w:tblBorders>
      <w:tblLook w:val="04A0" w:firstRow="1" w:lastRow="0" w:firstColumn="1" w:lastColumn="0" w:noHBand="0" w:noVBand="1"/>
    </w:tblPr>
    <w:tblGrid>
      <w:gridCol w:w="2302"/>
      <w:gridCol w:w="7196"/>
    </w:tblGrid>
    <w:tr w:rsidR="00AC4909" w:rsidRPr="009D34F1" w:rsidTr="00E93F7F">
      <w:tc>
        <w:tcPr>
          <w:tcW w:w="2302" w:type="dxa"/>
          <w:shd w:val="clear" w:color="auto" w:fill="auto"/>
        </w:tcPr>
        <w:p w:rsidR="00AC4909" w:rsidRPr="009D34F1" w:rsidRDefault="004309B8" w:rsidP="00AC4909">
          <w:pPr>
            <w:ind w:left="34"/>
            <w:jc w:val="left"/>
            <w:rPr>
              <w:rFonts w:cs="Arial"/>
              <w:b/>
              <w:smallCaps/>
            </w:rPr>
          </w:pPr>
          <w:r>
            <w:rPr>
              <w:rFonts w:cs="Arial"/>
              <w:b/>
              <w:noProof/>
              <w:sz w:val="22"/>
              <w:lang w:eastAsia="es-MX"/>
            </w:rPr>
            <w:drawing>
              <wp:anchor distT="0" distB="0" distL="114300" distR="114300" simplePos="0" relativeHeight="251659264" behindDoc="0" locked="0" layoutInCell="1" allowOverlap="1" wp14:anchorId="0DF83BA5" wp14:editId="0714F2E6">
                <wp:simplePos x="0" y="0"/>
                <wp:positionH relativeFrom="column">
                  <wp:posOffset>-165100</wp:posOffset>
                </wp:positionH>
                <wp:positionV relativeFrom="paragraph">
                  <wp:posOffset>91440</wp:posOffset>
                </wp:positionV>
                <wp:extent cx="1495425" cy="53835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495425" cy="53835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196" w:type="dxa"/>
          <w:shd w:val="clear" w:color="auto" w:fill="auto"/>
        </w:tcPr>
        <w:p w:rsidR="00E93F7F" w:rsidRDefault="00C577FC" w:rsidP="00AC4909">
          <w:pPr>
            <w:ind w:left="-827"/>
            <w:jc w:val="right"/>
            <w:rPr>
              <w:rFonts w:cs="Arial"/>
              <w:b/>
              <w:sz w:val="20"/>
            </w:rPr>
          </w:pPr>
        </w:p>
        <w:p w:rsidR="00AC4909" w:rsidRPr="00E775C7" w:rsidRDefault="004309B8" w:rsidP="00AC4909">
          <w:pPr>
            <w:ind w:left="-827"/>
            <w:jc w:val="right"/>
            <w:rPr>
              <w:rFonts w:cs="Arial"/>
              <w:b/>
              <w:sz w:val="22"/>
            </w:rPr>
          </w:pPr>
          <w:r w:rsidRPr="00E775C7">
            <w:rPr>
              <w:rFonts w:cs="Arial"/>
              <w:b/>
              <w:sz w:val="20"/>
            </w:rPr>
            <w:t>Instituto Nacional Electoral</w:t>
          </w:r>
        </w:p>
        <w:p w:rsidR="00AC4909" w:rsidRPr="00E775C7" w:rsidRDefault="004309B8" w:rsidP="00AC4909">
          <w:pPr>
            <w:ind w:left="-827"/>
            <w:jc w:val="right"/>
            <w:rPr>
              <w:rFonts w:cs="Arial"/>
              <w:b/>
              <w:sz w:val="22"/>
            </w:rPr>
          </w:pPr>
          <w:r w:rsidRPr="00E775C7">
            <w:rPr>
              <w:rFonts w:cs="Arial"/>
              <w:b/>
              <w:sz w:val="20"/>
            </w:rPr>
            <w:t>Dirección Ejecutiva de Prerrogativas y Partidos Políticos</w:t>
          </w:r>
        </w:p>
        <w:p w:rsidR="00142C2E" w:rsidRDefault="004309B8" w:rsidP="00243431">
          <w:pPr>
            <w:ind w:left="-827"/>
            <w:jc w:val="right"/>
            <w:rPr>
              <w:rFonts w:cs="Arial"/>
              <w:b/>
              <w:sz w:val="20"/>
            </w:rPr>
          </w:pPr>
          <w:r>
            <w:rPr>
              <w:rFonts w:cs="Arial"/>
              <w:b/>
              <w:sz w:val="20"/>
            </w:rPr>
            <w:t>Dirección de Administración de Tiempos del Estado en Radio y Televisión</w:t>
          </w:r>
        </w:p>
        <w:p w:rsidR="00BA1163" w:rsidRPr="00243431" w:rsidRDefault="00C577FC" w:rsidP="00C01B15">
          <w:pPr>
            <w:ind w:left="-827"/>
            <w:jc w:val="right"/>
            <w:rPr>
              <w:rFonts w:cs="Arial"/>
              <w:b/>
              <w:sz w:val="20"/>
            </w:rPr>
          </w:pPr>
          <w:bookmarkStart w:id="0" w:name="_GoBack"/>
          <w:bookmarkEnd w:id="0"/>
        </w:p>
      </w:tc>
    </w:tr>
  </w:tbl>
  <w:p w:rsidR="00AC4909" w:rsidRDefault="00C577F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EDE" w:rsidRDefault="008B4E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7A18"/>
    <w:multiLevelType w:val="hybridMultilevel"/>
    <w:tmpl w:val="78EA11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4C77EB"/>
    <w:multiLevelType w:val="hybridMultilevel"/>
    <w:tmpl w:val="EDA68BDE"/>
    <w:lvl w:ilvl="0" w:tplc="40FEAB4A">
      <w:start w:val="1"/>
      <w:numFmt w:val="decimal"/>
      <w:lvlText w:val="%1)"/>
      <w:lvlJc w:val="left"/>
      <w:pPr>
        <w:ind w:left="720" w:hanging="360"/>
      </w:pPr>
      <w:rPr>
        <w:rFonts w:ascii="Arial" w:eastAsia="Times New Roman"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C802F8"/>
    <w:multiLevelType w:val="hybridMultilevel"/>
    <w:tmpl w:val="EDA68BDE"/>
    <w:lvl w:ilvl="0" w:tplc="40FEAB4A">
      <w:start w:val="1"/>
      <w:numFmt w:val="decimal"/>
      <w:lvlText w:val="%1)"/>
      <w:lvlJc w:val="left"/>
      <w:pPr>
        <w:ind w:left="720" w:hanging="360"/>
      </w:pPr>
      <w:rPr>
        <w:rFonts w:ascii="Arial" w:eastAsia="Times New Roman"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D41A5E"/>
    <w:multiLevelType w:val="hybridMultilevel"/>
    <w:tmpl w:val="EDA68BDE"/>
    <w:lvl w:ilvl="0" w:tplc="40FEAB4A">
      <w:start w:val="1"/>
      <w:numFmt w:val="decimal"/>
      <w:lvlText w:val="%1)"/>
      <w:lvlJc w:val="left"/>
      <w:pPr>
        <w:ind w:left="720" w:hanging="360"/>
      </w:pPr>
      <w:rPr>
        <w:rFonts w:ascii="Arial" w:eastAsia="Times New Roman"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833862"/>
    <w:multiLevelType w:val="hybridMultilevel"/>
    <w:tmpl w:val="E522CB8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6B151B"/>
    <w:multiLevelType w:val="hybridMultilevel"/>
    <w:tmpl w:val="9438A254"/>
    <w:lvl w:ilvl="0" w:tplc="2B387DD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6891A66"/>
    <w:multiLevelType w:val="hybridMultilevel"/>
    <w:tmpl w:val="FA24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EC113B"/>
    <w:multiLevelType w:val="hybridMultilevel"/>
    <w:tmpl w:val="130ADF70"/>
    <w:lvl w:ilvl="0" w:tplc="E700A6BC">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294D1729"/>
    <w:multiLevelType w:val="hybridMultilevel"/>
    <w:tmpl w:val="76F63D3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0060DA"/>
    <w:multiLevelType w:val="hybridMultilevel"/>
    <w:tmpl w:val="98AEE06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612E00"/>
    <w:multiLevelType w:val="hybridMultilevel"/>
    <w:tmpl w:val="D5A4859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4C5983"/>
    <w:multiLevelType w:val="hybridMultilevel"/>
    <w:tmpl w:val="E1E495E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4CC5550C"/>
    <w:multiLevelType w:val="hybridMultilevel"/>
    <w:tmpl w:val="223248AC"/>
    <w:lvl w:ilvl="0" w:tplc="49269024">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594F6318"/>
    <w:multiLevelType w:val="hybridMultilevel"/>
    <w:tmpl w:val="98AEE06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C66111A"/>
    <w:multiLevelType w:val="hybridMultilevel"/>
    <w:tmpl w:val="3E664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22E3E08"/>
    <w:multiLevelType w:val="hybridMultilevel"/>
    <w:tmpl w:val="406822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CD2BA9"/>
    <w:multiLevelType w:val="hybridMultilevel"/>
    <w:tmpl w:val="DA1869A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7" w15:restartNumberingAfterBreak="0">
    <w:nsid w:val="63521764"/>
    <w:multiLevelType w:val="hybridMultilevel"/>
    <w:tmpl w:val="F87685C2"/>
    <w:lvl w:ilvl="0" w:tplc="080A0011">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EDE7E43"/>
    <w:multiLevelType w:val="hybridMultilevel"/>
    <w:tmpl w:val="C9AEBBBE"/>
    <w:lvl w:ilvl="0" w:tplc="009801C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74187E11"/>
    <w:multiLevelType w:val="hybridMultilevel"/>
    <w:tmpl w:val="FA78547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7BC16347"/>
    <w:multiLevelType w:val="hybridMultilevel"/>
    <w:tmpl w:val="95AC5154"/>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14"/>
  </w:num>
  <w:num w:numId="5">
    <w:abstractNumId w:val="15"/>
  </w:num>
  <w:num w:numId="6">
    <w:abstractNumId w:val="0"/>
  </w:num>
  <w:num w:numId="7">
    <w:abstractNumId w:val="19"/>
  </w:num>
  <w:num w:numId="8">
    <w:abstractNumId w:val="5"/>
  </w:num>
  <w:num w:numId="9">
    <w:abstractNumId w:val="11"/>
  </w:num>
  <w:num w:numId="10">
    <w:abstractNumId w:val="6"/>
  </w:num>
  <w:num w:numId="11">
    <w:abstractNumId w:val="16"/>
  </w:num>
  <w:num w:numId="12">
    <w:abstractNumId w:val="10"/>
  </w:num>
  <w:num w:numId="13">
    <w:abstractNumId w:val="4"/>
  </w:num>
  <w:num w:numId="14">
    <w:abstractNumId w:val="18"/>
  </w:num>
  <w:num w:numId="15">
    <w:abstractNumId w:val="12"/>
  </w:num>
  <w:num w:numId="16">
    <w:abstractNumId w:val="7"/>
  </w:num>
  <w:num w:numId="17">
    <w:abstractNumId w:val="8"/>
  </w:num>
  <w:num w:numId="18">
    <w:abstractNumId w:val="20"/>
  </w:num>
  <w:num w:numId="19">
    <w:abstractNumId w:val="17"/>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149"/>
    <w:rsid w:val="0001571D"/>
    <w:rsid w:val="00034F99"/>
    <w:rsid w:val="00037D82"/>
    <w:rsid w:val="00050307"/>
    <w:rsid w:val="0005567E"/>
    <w:rsid w:val="00072F0E"/>
    <w:rsid w:val="00073302"/>
    <w:rsid w:val="000A0C06"/>
    <w:rsid w:val="000A555B"/>
    <w:rsid w:val="000C6C92"/>
    <w:rsid w:val="00106DE5"/>
    <w:rsid w:val="00113BA2"/>
    <w:rsid w:val="00124767"/>
    <w:rsid w:val="00145ECF"/>
    <w:rsid w:val="00161995"/>
    <w:rsid w:val="00167CA1"/>
    <w:rsid w:val="001A2A04"/>
    <w:rsid w:val="001B4518"/>
    <w:rsid w:val="001C6759"/>
    <w:rsid w:val="001E7C1F"/>
    <w:rsid w:val="00232F22"/>
    <w:rsid w:val="00283FEE"/>
    <w:rsid w:val="0028546A"/>
    <w:rsid w:val="002C0F16"/>
    <w:rsid w:val="002F6F1E"/>
    <w:rsid w:val="00331096"/>
    <w:rsid w:val="0035229C"/>
    <w:rsid w:val="00390AD9"/>
    <w:rsid w:val="003911C3"/>
    <w:rsid w:val="00394A0C"/>
    <w:rsid w:val="003A4464"/>
    <w:rsid w:val="003C0FE9"/>
    <w:rsid w:val="004309B8"/>
    <w:rsid w:val="004547DB"/>
    <w:rsid w:val="004C2D1B"/>
    <w:rsid w:val="004F671E"/>
    <w:rsid w:val="0058113E"/>
    <w:rsid w:val="005B26F0"/>
    <w:rsid w:val="005C083B"/>
    <w:rsid w:val="006378B1"/>
    <w:rsid w:val="00674836"/>
    <w:rsid w:val="006B033D"/>
    <w:rsid w:val="006D4F20"/>
    <w:rsid w:val="006F5690"/>
    <w:rsid w:val="006F57DD"/>
    <w:rsid w:val="00726B74"/>
    <w:rsid w:val="00736E45"/>
    <w:rsid w:val="0079462F"/>
    <w:rsid w:val="007D71F3"/>
    <w:rsid w:val="007F1D7F"/>
    <w:rsid w:val="0080266E"/>
    <w:rsid w:val="00804D85"/>
    <w:rsid w:val="00831714"/>
    <w:rsid w:val="00833A6D"/>
    <w:rsid w:val="00851302"/>
    <w:rsid w:val="00855F49"/>
    <w:rsid w:val="00861B9A"/>
    <w:rsid w:val="0086280A"/>
    <w:rsid w:val="008A0FD6"/>
    <w:rsid w:val="008B4EDE"/>
    <w:rsid w:val="008F660F"/>
    <w:rsid w:val="00917B93"/>
    <w:rsid w:val="009248F9"/>
    <w:rsid w:val="009255FC"/>
    <w:rsid w:val="009842CA"/>
    <w:rsid w:val="00985A88"/>
    <w:rsid w:val="009C111F"/>
    <w:rsid w:val="009C2F17"/>
    <w:rsid w:val="009D10E1"/>
    <w:rsid w:val="009D654F"/>
    <w:rsid w:val="009E35D7"/>
    <w:rsid w:val="009E4FC3"/>
    <w:rsid w:val="00A15E56"/>
    <w:rsid w:val="00A47CDE"/>
    <w:rsid w:val="00A62EA6"/>
    <w:rsid w:val="00A838AF"/>
    <w:rsid w:val="00AA6A21"/>
    <w:rsid w:val="00AB2F72"/>
    <w:rsid w:val="00AB76C1"/>
    <w:rsid w:val="00AC2F8A"/>
    <w:rsid w:val="00AD6EBA"/>
    <w:rsid w:val="00AF4CE1"/>
    <w:rsid w:val="00B242A8"/>
    <w:rsid w:val="00B46B05"/>
    <w:rsid w:val="00B537A3"/>
    <w:rsid w:val="00B61149"/>
    <w:rsid w:val="00B6390A"/>
    <w:rsid w:val="00B846A8"/>
    <w:rsid w:val="00BC5F55"/>
    <w:rsid w:val="00BE19F2"/>
    <w:rsid w:val="00BE5E77"/>
    <w:rsid w:val="00BF7879"/>
    <w:rsid w:val="00C01B15"/>
    <w:rsid w:val="00C446D3"/>
    <w:rsid w:val="00C577FC"/>
    <w:rsid w:val="00CA1E0C"/>
    <w:rsid w:val="00D17A84"/>
    <w:rsid w:val="00D30702"/>
    <w:rsid w:val="00DA65BB"/>
    <w:rsid w:val="00DC4AF5"/>
    <w:rsid w:val="00DD7125"/>
    <w:rsid w:val="00DD7207"/>
    <w:rsid w:val="00E31094"/>
    <w:rsid w:val="00E368F0"/>
    <w:rsid w:val="00E60A6D"/>
    <w:rsid w:val="00E734BE"/>
    <w:rsid w:val="00E865DF"/>
    <w:rsid w:val="00EA5B47"/>
    <w:rsid w:val="00EB74A9"/>
    <w:rsid w:val="00ED1802"/>
    <w:rsid w:val="00F16786"/>
    <w:rsid w:val="00F275AD"/>
    <w:rsid w:val="00F62742"/>
    <w:rsid w:val="00F63FC2"/>
    <w:rsid w:val="00F70157"/>
    <w:rsid w:val="00F86F35"/>
    <w:rsid w:val="00FA56FB"/>
    <w:rsid w:val="00FC0938"/>
    <w:rsid w:val="00FC0ADA"/>
    <w:rsid w:val="00FF13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835D8-FCA2-4896-8ADE-4A7232B2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149"/>
    <w:pPr>
      <w:spacing w:after="0" w:line="240" w:lineRule="auto"/>
      <w:jc w:val="both"/>
    </w:pPr>
    <w:rPr>
      <w:rFonts w:ascii="Arial" w:eastAsia="Calibri" w:hAnsi="Arial"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árrafo de lista1"/>
    <w:basedOn w:val="Normal"/>
    <w:link w:val="PrrafodelistaCar"/>
    <w:uiPriority w:val="34"/>
    <w:qFormat/>
    <w:rsid w:val="00B61149"/>
    <w:pPr>
      <w:ind w:left="708"/>
    </w:pPr>
  </w:style>
  <w:style w:type="character" w:customStyle="1" w:styleId="PrrafodelistaCar">
    <w:name w:val="Párrafo de lista Car"/>
    <w:aliases w:val="CNBV Parrafo1 Car,Párrafo de lista1 Car"/>
    <w:link w:val="Prrafodelista"/>
    <w:uiPriority w:val="34"/>
    <w:rsid w:val="00B61149"/>
    <w:rPr>
      <w:rFonts w:ascii="Arial" w:eastAsia="Calibri" w:hAnsi="Arial" w:cs="Times New Roman"/>
      <w:sz w:val="24"/>
    </w:rPr>
  </w:style>
  <w:style w:type="paragraph" w:styleId="Encabezado">
    <w:name w:val="header"/>
    <w:basedOn w:val="Normal"/>
    <w:link w:val="EncabezadoCar"/>
    <w:uiPriority w:val="99"/>
    <w:unhideWhenUsed/>
    <w:rsid w:val="00B61149"/>
    <w:pPr>
      <w:tabs>
        <w:tab w:val="center" w:pos="4419"/>
        <w:tab w:val="right" w:pos="8838"/>
      </w:tabs>
      <w:jc w:val="left"/>
    </w:pPr>
    <w:rPr>
      <w:rFonts w:asciiTheme="minorHAnsi" w:eastAsiaTheme="minorHAnsi" w:hAnsiTheme="minorHAnsi" w:cstheme="minorBidi"/>
      <w:sz w:val="22"/>
    </w:rPr>
  </w:style>
  <w:style w:type="character" w:customStyle="1" w:styleId="EncabezadoCar">
    <w:name w:val="Encabezado Car"/>
    <w:basedOn w:val="Fuentedeprrafopredeter"/>
    <w:link w:val="Encabezado"/>
    <w:uiPriority w:val="99"/>
    <w:rsid w:val="00B61149"/>
  </w:style>
  <w:style w:type="paragraph" w:styleId="Piedepgina">
    <w:name w:val="footer"/>
    <w:basedOn w:val="Normal"/>
    <w:link w:val="PiedepginaCar"/>
    <w:uiPriority w:val="99"/>
    <w:unhideWhenUsed/>
    <w:rsid w:val="00B61149"/>
    <w:pPr>
      <w:tabs>
        <w:tab w:val="center" w:pos="4419"/>
        <w:tab w:val="right" w:pos="8838"/>
      </w:tabs>
      <w:jc w:val="left"/>
    </w:pPr>
    <w:rPr>
      <w:rFonts w:asciiTheme="minorHAnsi" w:eastAsiaTheme="minorHAnsi" w:hAnsiTheme="minorHAnsi" w:cstheme="minorBidi"/>
      <w:sz w:val="22"/>
    </w:rPr>
  </w:style>
  <w:style w:type="character" w:customStyle="1" w:styleId="PiedepginaCar">
    <w:name w:val="Pie de página Car"/>
    <w:basedOn w:val="Fuentedeprrafopredeter"/>
    <w:link w:val="Piedepgina"/>
    <w:uiPriority w:val="99"/>
    <w:rsid w:val="00B61149"/>
  </w:style>
  <w:style w:type="table" w:styleId="Tablaconcuadrcula">
    <w:name w:val="Table Grid"/>
    <w:basedOn w:val="Tablanormal"/>
    <w:uiPriority w:val="39"/>
    <w:rsid w:val="00C44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C6C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C9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60035">
      <w:bodyDiv w:val="1"/>
      <w:marLeft w:val="0"/>
      <w:marRight w:val="0"/>
      <w:marTop w:val="0"/>
      <w:marBottom w:val="0"/>
      <w:divBdr>
        <w:top w:val="none" w:sz="0" w:space="0" w:color="auto"/>
        <w:left w:val="none" w:sz="0" w:space="0" w:color="auto"/>
        <w:bottom w:val="none" w:sz="0" w:space="0" w:color="auto"/>
        <w:right w:val="none" w:sz="0" w:space="0" w:color="auto"/>
      </w:divBdr>
    </w:div>
    <w:div w:id="159974503">
      <w:bodyDiv w:val="1"/>
      <w:marLeft w:val="0"/>
      <w:marRight w:val="0"/>
      <w:marTop w:val="0"/>
      <w:marBottom w:val="0"/>
      <w:divBdr>
        <w:top w:val="none" w:sz="0" w:space="0" w:color="auto"/>
        <w:left w:val="none" w:sz="0" w:space="0" w:color="auto"/>
        <w:bottom w:val="none" w:sz="0" w:space="0" w:color="auto"/>
        <w:right w:val="none" w:sz="0" w:space="0" w:color="auto"/>
      </w:divBdr>
    </w:div>
    <w:div w:id="297033060">
      <w:bodyDiv w:val="1"/>
      <w:marLeft w:val="0"/>
      <w:marRight w:val="0"/>
      <w:marTop w:val="0"/>
      <w:marBottom w:val="0"/>
      <w:divBdr>
        <w:top w:val="none" w:sz="0" w:space="0" w:color="auto"/>
        <w:left w:val="none" w:sz="0" w:space="0" w:color="auto"/>
        <w:bottom w:val="none" w:sz="0" w:space="0" w:color="auto"/>
        <w:right w:val="none" w:sz="0" w:space="0" w:color="auto"/>
      </w:divBdr>
    </w:div>
    <w:div w:id="361712031">
      <w:bodyDiv w:val="1"/>
      <w:marLeft w:val="0"/>
      <w:marRight w:val="0"/>
      <w:marTop w:val="0"/>
      <w:marBottom w:val="0"/>
      <w:divBdr>
        <w:top w:val="none" w:sz="0" w:space="0" w:color="auto"/>
        <w:left w:val="none" w:sz="0" w:space="0" w:color="auto"/>
        <w:bottom w:val="none" w:sz="0" w:space="0" w:color="auto"/>
        <w:right w:val="none" w:sz="0" w:space="0" w:color="auto"/>
      </w:divBdr>
    </w:div>
    <w:div w:id="557319981">
      <w:bodyDiv w:val="1"/>
      <w:marLeft w:val="0"/>
      <w:marRight w:val="0"/>
      <w:marTop w:val="0"/>
      <w:marBottom w:val="0"/>
      <w:divBdr>
        <w:top w:val="none" w:sz="0" w:space="0" w:color="auto"/>
        <w:left w:val="none" w:sz="0" w:space="0" w:color="auto"/>
        <w:bottom w:val="none" w:sz="0" w:space="0" w:color="auto"/>
        <w:right w:val="none" w:sz="0" w:space="0" w:color="auto"/>
      </w:divBdr>
    </w:div>
    <w:div w:id="758867800">
      <w:bodyDiv w:val="1"/>
      <w:marLeft w:val="0"/>
      <w:marRight w:val="0"/>
      <w:marTop w:val="0"/>
      <w:marBottom w:val="0"/>
      <w:divBdr>
        <w:top w:val="none" w:sz="0" w:space="0" w:color="auto"/>
        <w:left w:val="none" w:sz="0" w:space="0" w:color="auto"/>
        <w:bottom w:val="none" w:sz="0" w:space="0" w:color="auto"/>
        <w:right w:val="none" w:sz="0" w:space="0" w:color="auto"/>
      </w:divBdr>
    </w:div>
    <w:div w:id="1372418904">
      <w:bodyDiv w:val="1"/>
      <w:marLeft w:val="0"/>
      <w:marRight w:val="0"/>
      <w:marTop w:val="0"/>
      <w:marBottom w:val="0"/>
      <w:divBdr>
        <w:top w:val="none" w:sz="0" w:space="0" w:color="auto"/>
        <w:left w:val="none" w:sz="0" w:space="0" w:color="auto"/>
        <w:bottom w:val="none" w:sz="0" w:space="0" w:color="auto"/>
        <w:right w:val="none" w:sz="0" w:space="0" w:color="auto"/>
      </w:divBdr>
    </w:div>
    <w:div w:id="1621565204">
      <w:bodyDiv w:val="1"/>
      <w:marLeft w:val="0"/>
      <w:marRight w:val="0"/>
      <w:marTop w:val="0"/>
      <w:marBottom w:val="0"/>
      <w:divBdr>
        <w:top w:val="none" w:sz="0" w:space="0" w:color="auto"/>
        <w:left w:val="none" w:sz="0" w:space="0" w:color="auto"/>
        <w:bottom w:val="none" w:sz="0" w:space="0" w:color="auto"/>
        <w:right w:val="none" w:sz="0" w:space="0" w:color="auto"/>
      </w:divBdr>
    </w:div>
    <w:div w:id="1934625662">
      <w:bodyDiv w:val="1"/>
      <w:marLeft w:val="0"/>
      <w:marRight w:val="0"/>
      <w:marTop w:val="0"/>
      <w:marBottom w:val="0"/>
      <w:divBdr>
        <w:top w:val="none" w:sz="0" w:space="0" w:color="auto"/>
        <w:left w:val="none" w:sz="0" w:space="0" w:color="auto"/>
        <w:bottom w:val="none" w:sz="0" w:space="0" w:color="auto"/>
        <w:right w:val="none" w:sz="0" w:space="0" w:color="auto"/>
      </w:divBdr>
    </w:div>
    <w:div w:id="198103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1495</Words>
  <Characters>8226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SALAZAR RUBIO ALFONSO ISAIAS</dc:creator>
  <cp:keywords/>
  <dc:description/>
  <cp:lastModifiedBy>RODRIGUEZ MACIEL KARLA MONICA</cp:lastModifiedBy>
  <cp:revision>15</cp:revision>
  <cp:lastPrinted>2019-10-25T16:34:00Z</cp:lastPrinted>
  <dcterms:created xsi:type="dcterms:W3CDTF">2020-10-22T22:22:00Z</dcterms:created>
  <dcterms:modified xsi:type="dcterms:W3CDTF">2020-11-20T04:17:00Z</dcterms:modified>
</cp:coreProperties>
</file>